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8" w:lineRule="atLeast"/>
        <w:jc w:val="left"/>
        <w:rPr>
          <w:rFonts w:hint="eastAsia" w:cs="宋体" w:asciiTheme="minorEastAsia" w:hAnsiTheme="minorEastAsia" w:eastAsiaTheme="minorEastAsia"/>
          <w:spacing w:val="15"/>
          <w:kern w:val="0"/>
          <w:szCs w:val="21"/>
        </w:rPr>
      </w:pPr>
      <w:r>
        <w:rPr>
          <w:rFonts w:hint="eastAsia" w:asciiTheme="minorEastAsia" w:hAnsiTheme="minorEastAsia" w:eastAsiaTheme="minorEastAsia"/>
          <w:spacing w:val="15"/>
          <w:szCs w:val="21"/>
          <w:shd w:val="clear" w:color="auto" w:fill="FFFFFF"/>
        </w:rPr>
        <w:t>附件：</w:t>
      </w:r>
    </w:p>
    <w:p>
      <w:pPr>
        <w:spacing w:line="360" w:lineRule="auto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第一包、全数字彩色多谱勒超声实时引导可视人流</w:t>
      </w:r>
    </w:p>
    <w:p>
      <w:pPr>
        <w:spacing w:after="24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(一)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、数量1台，预算控制价</w:t>
      </w: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6.6万</w:t>
      </w:r>
      <w:r>
        <w:rPr>
          <w:rFonts w:hint="eastAsia" w:asciiTheme="minorEastAsia" w:hAnsiTheme="minorEastAsia" w:eastAsiaTheme="minorEastAsia"/>
          <w:b/>
          <w:bCs/>
          <w:szCs w:val="21"/>
        </w:rPr>
        <w:t>元</w:t>
      </w:r>
    </w:p>
    <w:p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(二)</w:t>
      </w:r>
      <w:r>
        <w:rPr>
          <w:rFonts w:hint="eastAsia" w:asciiTheme="minorEastAsia" w:hAnsiTheme="minorEastAsia" w:eastAsiaTheme="minorEastAsia"/>
          <w:b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产品用途说明</w:t>
      </w:r>
      <w:r>
        <w:rPr>
          <w:rFonts w:hint="eastAsia" w:asciiTheme="minorEastAsia" w:hAnsiTheme="minorEastAsia" w:eastAsiaTheme="minorEastAsia"/>
          <w:szCs w:val="21"/>
        </w:rPr>
        <w:t>：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用于本单位施行人工流产、取放宫内节育器妇产科宫腔手术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(三)、</w:t>
      </w:r>
      <w:r>
        <w:rPr>
          <w:rFonts w:hint="eastAsia" w:asciiTheme="minorEastAsia" w:hAnsiTheme="minorEastAsia" w:eastAsiaTheme="minorEastAsia"/>
          <w:b/>
          <w:szCs w:val="21"/>
        </w:rPr>
        <w:t>技术参数：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 系统概述：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1.1 15寸高分辨率逐行扫描彩色液晶显示器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1.2微光操作面板弟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1.3全数字化超声成像系统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1.4彩色多普勒成像单元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1.5频谱多普勒显示与分析单元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1.6组织谐波成像技术。妇科术中探头、腔内、腹部等探头均具有组织谐波成像功能</w:t>
      </w:r>
    </w:p>
    <w:p>
      <w:pPr>
        <w:pStyle w:val="4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*1.7具备实时剪贴板技术，</w:t>
      </w:r>
      <w:r>
        <w:rPr>
          <w:rFonts w:hint="eastAsia" w:asciiTheme="minorEastAsia" w:hAnsiTheme="minorEastAsia" w:eastAsiaTheme="minorEastAsia"/>
          <w:kern w:val="0"/>
        </w:rPr>
        <w:t>同屏保存电影回放及诊断图</w:t>
      </w:r>
      <w:r>
        <w:rPr>
          <w:rFonts w:hint="eastAsia" w:asciiTheme="minorEastAsia" w:hAnsiTheme="minorEastAsia" w:eastAsiaTheme="minorEastAsia"/>
        </w:rPr>
        <w:t>≥6幅</w:t>
      </w:r>
      <w:r>
        <w:rPr>
          <w:rFonts w:hint="eastAsia" w:asciiTheme="minorEastAsia" w:hAnsiTheme="minorEastAsia" w:eastAsiaTheme="minorEastAsia"/>
          <w:kern w:val="0"/>
        </w:rPr>
        <w:t>，方便调用、浏览、比较、分析。</w:t>
      </w:r>
      <w:r>
        <w:rPr>
          <w:rFonts w:hint="eastAsia" w:asciiTheme="minorEastAsia" w:hAnsiTheme="minorEastAsia" w:eastAsiaTheme="minorEastAsia"/>
        </w:rPr>
        <w:t>（提供图片证明）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2．测量和分析:(B型,M型,频谱多谱勒,彩色多谱勒)。</w:t>
      </w:r>
    </w:p>
    <w:p>
      <w:pPr>
        <w:spacing w:line="360" w:lineRule="auto"/>
        <w:ind w:left="1050" w:hanging="1050" w:hangingChars="5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2.1  常规测量（距离测量、椭圆及描迹测量面积周长、体积测量）</w:t>
      </w:r>
    </w:p>
    <w:p>
      <w:pPr>
        <w:spacing w:line="360" w:lineRule="auto"/>
        <w:ind w:left="1050" w:hanging="1050" w:hangingChars="5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2.2  产科测量</w:t>
      </w:r>
    </w:p>
    <w:p>
      <w:pPr>
        <w:spacing w:line="360" w:lineRule="auto"/>
        <w:ind w:left="1050" w:hanging="1050" w:hangingChars="5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2.3  血管测量</w:t>
      </w:r>
    </w:p>
    <w:p>
      <w:pPr>
        <w:spacing w:line="360" w:lineRule="auto"/>
        <w:ind w:left="1155" w:hanging="1155" w:hangingChars="550"/>
        <w:jc w:val="left"/>
        <w:textAlignment w:val="top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2.4  妇科/产科专用测量及分析，（含双胎测量、胎儿生理评分）</w:t>
      </w:r>
    </w:p>
    <w:p>
      <w:pPr>
        <w:spacing w:line="360" w:lineRule="auto"/>
        <w:jc w:val="left"/>
        <w:textAlignment w:val="top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 系统通用功能及技术参数：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3.1 系统通用功能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3.1.1  监视器:≥17寸 高清晰、医用专业彩色液晶显示器。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3.1.2  探头接口个数:≥3个（都为标准大探头接口）。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3.2  探头规格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*3.2.1  R10宽频变频妇科术中探头，变频≥4段（不含谐波变频），显示探头频率数值，两维和彩色频率均可视可调。（提供图片证明）， 扫描角度≥130°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*3.2.2 专用探头为非金属材质、避免探头过重手术过程中脱离。（提供图片证明）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*3.2.3</w:t>
      </w:r>
      <w:r>
        <w:rPr>
          <w:rFonts w:hint="eastAsia" w:asciiTheme="minorEastAsia" w:hAnsiTheme="minorEastAsia" w:eastAsiaTheme="minorEastAsia"/>
          <w:kern w:val="0"/>
          <w:szCs w:val="21"/>
        </w:rPr>
        <w:t>在经阴道妇科手术术中引导时仅需使用下页卡接式专用窥器。</w:t>
      </w:r>
      <w:r>
        <w:rPr>
          <w:rFonts w:hint="eastAsia" w:asciiTheme="minorEastAsia" w:hAnsiTheme="minorEastAsia" w:eastAsiaTheme="minorEastAsia"/>
          <w:szCs w:val="21"/>
        </w:rPr>
        <w:t>（提供图片证明）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3.3 二维显像参数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3.3.1、二维灰阶成像：≥256灰阶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*3.3.2、最大扫描深度：≥280mm，妇科术中探头6.5MHz最大探测深度≥120mm。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3.3.3、动态范围 ≥140dB ，0-140dB可视可调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3.3.4、增益调节：B/M/C/D均有独立旋钮调节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3.3.5、</w:t>
      </w:r>
      <w:r>
        <w:rPr>
          <w:rFonts w:hint="eastAsia" w:asciiTheme="minorEastAsia" w:hAnsiTheme="minorEastAsia" w:eastAsiaTheme="minorEastAsia"/>
          <w:kern w:val="0"/>
          <w:szCs w:val="21"/>
        </w:rPr>
        <w:t>实时诊断状态下剪贴板图像存储功能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*3.3.6、灰阶曲线≥14级可视可调,具有自定义灰阶曲线(图片证明)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*3.3.7、所有增益旋钮的步进基量，可根据用户的习惯调节矫正。（提图片证明）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4、彩色多普勒参数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4.1、彩色多普勒增益≥15级，连续可视可调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4.2、彩色多普勒频率≥4段变频，可视可调。</w:t>
      </w:r>
    </w:p>
    <w:p>
      <w:pPr>
        <w:spacing w:line="360" w:lineRule="auto"/>
        <w:jc w:val="left"/>
        <w:textAlignment w:val="top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4.3、彩色帧平均≥7级，可视可调</w:t>
      </w:r>
    </w:p>
    <w:p>
      <w:pPr>
        <w:spacing w:line="360" w:lineRule="auto"/>
        <w:jc w:val="left"/>
        <w:textAlignment w:val="top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4.4、彩色血流取样包大小≥7级，可视可调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5、频谱多普勒：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5.1、多普勒增益≥15级，连续可视可调。</w:t>
      </w:r>
    </w:p>
    <w:p>
      <w:pPr>
        <w:spacing w:line="360" w:lineRule="auto"/>
        <w:ind w:left="945" w:hanging="945" w:hangingChars="450"/>
        <w:jc w:val="left"/>
        <w:textAlignment w:val="top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5.2、多普勒频率≥3段变频，可视可调。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5.3、多普勒取样音可开关，音量大小可调。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5.4、支持上下B/PW和左右B/PW模式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5.5、最大测量速度：≥750cm/s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最低测量速度：≤0.2cm/s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6、</w:t>
      </w:r>
      <w:r>
        <w:rPr>
          <w:rFonts w:hint="eastAsia" w:asciiTheme="minorEastAsia" w:hAnsiTheme="minorEastAsia" w:eastAsiaTheme="minorEastAsia"/>
          <w:szCs w:val="21"/>
        </w:rPr>
        <w:t>超声图像及病案管理系统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6.1可进行调节动态、静态图像的存储, 无需特殊软件即能在普通PC直接观察图像。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6.2动、静态图像采集、存储，</w:t>
      </w:r>
      <w:r>
        <w:rPr>
          <w:rFonts w:hint="eastAsia" w:asciiTheme="minorEastAsia" w:hAnsiTheme="minorEastAsia" w:eastAsiaTheme="minorEastAsia"/>
          <w:kern w:val="0"/>
          <w:szCs w:val="21"/>
        </w:rPr>
        <w:t>在线剪贴板功能，存储的图像能与实时扫查图像同屏显示并可在线浏览。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6.3快速“一键”进入工作站，对病档进行编辑。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6.4可以将图像嵌入病历报告中, 病历可进行数据编辑。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6.5专用的测量和分析自动生成中、英文报告，可对报告数据进行编辑。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6.6胎儿生长曲线。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6.7电影回放≥1024帧、可调回放速度。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6.8主机硬盘，硬盘容量≥200G。</w:t>
      </w:r>
    </w:p>
    <w:p>
      <w:pPr>
        <w:spacing w:line="360" w:lineRule="auto"/>
        <w:textAlignment w:val="baseline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(四)、系统配置：</w:t>
      </w:r>
    </w:p>
    <w:p>
      <w:pPr>
        <w:spacing w:line="360" w:lineRule="auto"/>
        <w:textAlignment w:val="baseline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主机+ R10宽频变频妇科术中探头+ 分立式电动流产吸引器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kern w:val="0"/>
          <w:szCs w:val="21"/>
        </w:rPr>
        <w:t>(五)、 商务要求</w:t>
      </w:r>
    </w:p>
    <w:p>
      <w:pPr>
        <w:widowControl/>
        <w:spacing w:line="36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 xml:space="preserve">     1） 具有国家生产许可证及投标型号产品医疗器械省级或省级以上注册。且产品注册证的适用范围应明确涵盖“人工流产、取放节育器等妇产科手术的实时超声监控”。</w:t>
      </w:r>
    </w:p>
    <w:p>
      <w:pPr>
        <w:numPr>
          <w:ilvl w:val="0"/>
          <w:numId w:val="1"/>
        </w:numPr>
        <w:spacing w:line="360" w:lineRule="auto"/>
        <w:ind w:firstLine="525" w:firstLineChars="250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生产厂家具有在有效期内的ISO9001、CMD及CE质量管理体系认证证书。</w:t>
      </w:r>
    </w:p>
    <w:p>
      <w:pPr>
        <w:spacing w:line="360" w:lineRule="auto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*3）</w:t>
      </w:r>
      <w:r>
        <w:rPr>
          <w:rFonts w:hint="eastAsia" w:asciiTheme="minorEastAsia" w:hAnsiTheme="minorEastAsia" w:eastAsiaTheme="minorEastAsia"/>
          <w:kern w:val="0"/>
          <w:szCs w:val="21"/>
        </w:rPr>
        <w:t xml:space="preserve"> 生产厂家为高新技术企业（提供证明文件）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第二包、HB</w:t>
      </w:r>
      <w:r>
        <w:rPr>
          <w:rFonts w:ascii="微软雅黑" w:hAnsi="微软雅黑" w:eastAsia="微软雅黑"/>
          <w:b/>
          <w:bCs/>
          <w:sz w:val="28"/>
          <w:szCs w:val="28"/>
        </w:rPr>
        <w:t>3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000型智能中药熏蒸机</w:t>
      </w:r>
    </w:p>
    <w:p>
      <w:pPr>
        <w:spacing w:after="24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(一)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、数量1台，预算控制价</w:t>
      </w: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4.3万</w:t>
      </w:r>
      <w:r>
        <w:rPr>
          <w:rFonts w:hint="eastAsia" w:asciiTheme="minorEastAsia" w:hAnsiTheme="minorEastAsia" w:eastAsiaTheme="minorEastAsia"/>
          <w:b/>
          <w:bCs/>
          <w:szCs w:val="21"/>
        </w:rPr>
        <w:t>元</w:t>
      </w:r>
    </w:p>
    <w:p>
      <w:pPr>
        <w:spacing w:after="24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(二)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技术参数：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★ 1、通道数：双通道（二个喷头），微电脑独立控制。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★ 2、</w:t>
      </w:r>
      <w:r>
        <w:rPr>
          <w:rFonts w:hint="eastAsia" w:asciiTheme="minorEastAsia" w:hAnsiTheme="minorEastAsia" w:eastAsiaTheme="minorEastAsia"/>
          <w:szCs w:val="21"/>
          <w:lang w:val="zh-CN"/>
        </w:rPr>
        <w:t>预热及治疗功率</w:t>
      </w:r>
      <w:r>
        <w:rPr>
          <w:rFonts w:hint="eastAsia" w:asciiTheme="minorEastAsia" w:hAnsiTheme="minorEastAsia" w:eastAsiaTheme="minorEastAsia"/>
          <w:szCs w:val="21"/>
        </w:rPr>
        <w:t>1、2、3、4档可调。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  <w:lang w:val="zh-CN"/>
        </w:rPr>
      </w:pPr>
      <w:r>
        <w:rPr>
          <w:rFonts w:hint="eastAsia" w:asciiTheme="minorEastAsia" w:hAnsiTheme="minorEastAsia" w:eastAsiaTheme="minorEastAsia"/>
          <w:szCs w:val="21"/>
        </w:rPr>
        <w:t xml:space="preserve">   3</w:t>
      </w:r>
      <w:r>
        <w:rPr>
          <w:rFonts w:hint="eastAsia" w:asciiTheme="minorEastAsia" w:hAnsiTheme="minorEastAsia" w:eastAsiaTheme="minorEastAsia"/>
          <w:szCs w:val="21"/>
          <w:lang w:val="zh-CN"/>
        </w:rPr>
        <w:t>、</w:t>
      </w:r>
      <w:r>
        <w:rPr>
          <w:rFonts w:hint="eastAsia" w:asciiTheme="minorEastAsia" w:hAnsiTheme="minorEastAsia" w:eastAsiaTheme="minorEastAsia"/>
          <w:szCs w:val="21"/>
        </w:rPr>
        <w:t>人性化设计，具有预热温度设置功能，预热设定温度为40</w:t>
      </w:r>
      <w:r>
        <w:rPr>
          <w:rFonts w:hint="eastAsia" w:asciiTheme="minorEastAsia" w:hAnsiTheme="minorEastAsia" w:eastAsiaTheme="minorEastAsia"/>
          <w:szCs w:val="21"/>
          <w:lang w:val="zh-CN"/>
        </w:rPr>
        <w:t>℃</w:t>
      </w:r>
      <w:r>
        <w:rPr>
          <w:rFonts w:hint="eastAsia" w:asciiTheme="minorEastAsia" w:hAnsiTheme="minorEastAsia" w:eastAsiaTheme="minorEastAsia"/>
          <w:szCs w:val="21"/>
        </w:rPr>
        <w:t>～90</w:t>
      </w:r>
      <w:r>
        <w:rPr>
          <w:rFonts w:hint="eastAsia" w:asciiTheme="minorEastAsia" w:hAnsiTheme="minorEastAsia" w:eastAsiaTheme="minorEastAsia"/>
          <w:szCs w:val="21"/>
          <w:lang w:val="zh-CN"/>
        </w:rPr>
        <w:t>℃。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4、加热时间</w:t>
      </w:r>
      <w:r>
        <w:rPr>
          <w:rFonts w:asciiTheme="minorEastAsia" w:hAnsiTheme="minorEastAsia" w:eastAsiaTheme="minorEastAsia"/>
          <w:szCs w:val="21"/>
        </w:rPr>
        <w:t>≤</w:t>
      </w:r>
      <w:r>
        <w:rPr>
          <w:rFonts w:hint="eastAsia" w:asciiTheme="minorEastAsia" w:hAnsiTheme="minorEastAsia" w:eastAsiaTheme="minorEastAsia"/>
          <w:szCs w:val="21"/>
        </w:rPr>
        <w:t>8分钟。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  <w:lang w:val="zh-CN"/>
        </w:rPr>
      </w:pPr>
      <w:r>
        <w:rPr>
          <w:rFonts w:hint="eastAsia" w:asciiTheme="minorEastAsia" w:hAnsiTheme="minorEastAsia" w:eastAsiaTheme="minorEastAsia"/>
          <w:szCs w:val="21"/>
        </w:rPr>
        <w:t xml:space="preserve">   5、</w:t>
      </w:r>
      <w:r>
        <w:rPr>
          <w:rFonts w:hint="eastAsia" w:asciiTheme="minorEastAsia" w:hAnsiTheme="minorEastAsia" w:eastAsiaTheme="minorEastAsia"/>
          <w:szCs w:val="21"/>
          <w:lang w:val="zh-CN"/>
        </w:rPr>
        <w:t>治疗时间</w:t>
      </w:r>
      <w:r>
        <w:rPr>
          <w:rFonts w:hint="eastAsia"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  <w:lang w:val="zh-CN"/>
        </w:rPr>
        <w:t>-</w:t>
      </w:r>
      <w:r>
        <w:rPr>
          <w:rFonts w:hint="eastAsia"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  <w:lang w:val="zh-CN"/>
        </w:rPr>
        <w:t>5分钟可调。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  <w:lang w:val="zh-CN"/>
        </w:rPr>
      </w:pPr>
      <w:r>
        <w:rPr>
          <w:rFonts w:hint="eastAsia" w:asciiTheme="minorEastAsia" w:hAnsiTheme="minorEastAsia" w:eastAsiaTheme="minorEastAsia"/>
          <w:szCs w:val="21"/>
        </w:rPr>
        <w:t xml:space="preserve">★ </w:t>
      </w:r>
      <w:r>
        <w:rPr>
          <w:rFonts w:hint="eastAsia" w:asciiTheme="minorEastAsia" w:hAnsiTheme="minorEastAsia" w:eastAsiaTheme="minorEastAsia"/>
          <w:szCs w:val="21"/>
          <w:lang w:val="zh-CN"/>
        </w:rPr>
        <w:t>6、显示方式：大尺寸液晶屏显示。</w:t>
      </w:r>
    </w:p>
    <w:p>
      <w:pPr>
        <w:ind w:left="630" w:hanging="630" w:hangingChars="3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★ 7、喷头采用双腔隔热设计，具有主容器和副容器，保证喷汽均匀，不喷水不滴水，治疗更舒适。（提供佐证资料）。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8、按键操作、治疗结束、预热达到设定温度时具有声音提示。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9、当熏蒸机药罐中气压大于0.08MPa时，减压阀排气减压。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10、喷杆动作角度：75±5度；喷头动作角度：万向。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11、设备输入功率：1800W。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12、额定装药容量：4L，容器为一个大口径独立水溶箱，方便操作和清洗。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13、具有缺液报警及缺液自动停止加热功能。</w:t>
      </w:r>
    </w:p>
    <w:p>
      <w:pPr>
        <w:ind w:left="420" w:hanging="420" w:hangingChars="200"/>
        <w:outlineLvl w:val="0"/>
        <w:rPr>
          <w:rFonts w:asciiTheme="minorEastAsia" w:hAnsiTheme="minorEastAsia" w:eastAsiaTheme="minorEastAsia"/>
          <w:szCs w:val="21"/>
          <w:lang w:val="zh-CN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14、智能</w:t>
      </w:r>
      <w:r>
        <w:rPr>
          <w:rFonts w:hint="eastAsia" w:asciiTheme="minorEastAsia" w:hAnsiTheme="minorEastAsia" w:eastAsiaTheme="minorEastAsia"/>
          <w:szCs w:val="21"/>
          <w:lang w:val="zh-CN"/>
        </w:rPr>
        <w:t>倒计时，真正做到喷汽时间与治疗时间完全相符。</w:t>
      </w:r>
    </w:p>
    <w:p>
      <w:pPr>
        <w:ind w:left="630" w:hanging="630" w:hangingChars="3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15、机箱容器部分和电路显示部分采用分体设计，便于保养和维修,并做到完全隔离。</w:t>
      </w:r>
    </w:p>
    <w:p>
      <w:pPr>
        <w:ind w:left="420" w:hanging="420" w:hangingChars="200"/>
        <w:outlineLvl w:val="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16、</w:t>
      </w:r>
      <w:r>
        <w:rPr>
          <w:rFonts w:cs="宋体" w:asciiTheme="minorEastAsia" w:hAnsiTheme="minorEastAsia" w:eastAsiaTheme="minorEastAsia"/>
          <w:kern w:val="0"/>
          <w:szCs w:val="21"/>
        </w:rPr>
        <w:t>采用气路、液路防阻塞设计及工艺。</w:t>
      </w:r>
    </w:p>
    <w:p>
      <w:pPr>
        <w:ind w:left="420" w:hanging="420" w:hangingChars="200"/>
        <w:outlineLvl w:val="0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17、</w:t>
      </w:r>
      <w:r>
        <w:rPr>
          <w:rFonts w:cs="宋体" w:asciiTheme="minorEastAsia" w:hAnsiTheme="minorEastAsia" w:eastAsiaTheme="minorEastAsia"/>
          <w:kern w:val="0"/>
          <w:szCs w:val="21"/>
        </w:rPr>
        <w:t>采用直径达23mm排液管路,确保排液方便快捷不阻塞，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配备储水抽屉，</w:t>
      </w:r>
    </w:p>
    <w:p>
      <w:pPr>
        <w:ind w:left="420" w:hanging="420" w:hangingChars="200"/>
        <w:outlineLvl w:val="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 xml:space="preserve">       </w:t>
      </w:r>
      <w:r>
        <w:rPr>
          <w:rFonts w:cs="宋体" w:asciiTheme="minorEastAsia" w:hAnsiTheme="minorEastAsia" w:eastAsiaTheme="minorEastAsia"/>
          <w:kern w:val="0"/>
          <w:szCs w:val="21"/>
        </w:rPr>
        <w:t>便于维护。</w:t>
      </w:r>
    </w:p>
    <w:p>
      <w:pPr>
        <w:ind w:left="840" w:hanging="840" w:hangingChars="400"/>
        <w:outlineLvl w:val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★ 18、喷杆上下关节位采用304不锈钢材料并获得实用新型证书，确保任意治疗角度的稳定性，经久耐用（提供佐证资料）。</w:t>
      </w:r>
    </w:p>
    <w:p>
      <w:pPr>
        <w:ind w:left="420" w:hanging="420" w:hangingChars="200"/>
        <w:outlineLvl w:val="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19、</w:t>
      </w:r>
      <w:r>
        <w:rPr>
          <w:rFonts w:cs="宋体" w:asciiTheme="minorEastAsia" w:hAnsiTheme="minorEastAsia" w:eastAsiaTheme="minorEastAsia"/>
          <w:kern w:val="0"/>
          <w:szCs w:val="21"/>
        </w:rPr>
        <w:t>外置气路过滤器，方便清洁维护。</w:t>
      </w:r>
    </w:p>
    <w:p>
      <w:pPr>
        <w:ind w:left="840" w:hanging="840" w:hangingChars="400"/>
        <w:outlineLvl w:val="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20、</w:t>
      </w:r>
      <w:r>
        <w:rPr>
          <w:rFonts w:cs="宋体" w:asciiTheme="minorEastAsia" w:hAnsiTheme="minorEastAsia" w:eastAsiaTheme="minorEastAsia"/>
          <w:kern w:val="0"/>
          <w:szCs w:val="21"/>
        </w:rPr>
        <w:t>采用防干烧、耐高温、防腐蚀、防结垢加热器，使用寿命较常规加热器长一倍以上。</w:t>
      </w:r>
    </w:p>
    <w:p>
      <w:pPr>
        <w:ind w:left="840" w:right="-154" w:hanging="840" w:hangingChars="400"/>
        <w:outlineLvl w:val="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★ 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21、</w:t>
      </w:r>
      <w:r>
        <w:rPr>
          <w:rFonts w:cs="宋体" w:asciiTheme="minorEastAsia" w:hAnsiTheme="minorEastAsia" w:eastAsiaTheme="minorEastAsia"/>
          <w:kern w:val="0"/>
          <w:szCs w:val="21"/>
        </w:rPr>
        <w:t>入选国家中医药管理局“中医诊疗设备评估选型推荐品目（2011版第一批）”，提供国家中医局文件为准。</w:t>
      </w:r>
    </w:p>
    <w:p>
      <w:pPr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★ 22、产品被评为省级高新技术认证产品。</w:t>
      </w:r>
    </w:p>
    <w:p>
      <w:pPr>
        <w:rPr>
          <w:rFonts w:hint="eastAsia" w:asciiTheme="minorEastAsia" w:hAnsiTheme="minorEastAsia" w:eastAsiaTheme="minorEastAsia"/>
          <w:szCs w:val="21"/>
        </w:rPr>
      </w:pPr>
    </w:p>
    <w:p>
      <w:pPr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第三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包</w:t>
      </w:r>
      <w:r>
        <w:rPr>
          <w:rFonts w:hint="eastAsia" w:ascii="微软雅黑" w:hAnsi="微软雅黑" w:eastAsia="微软雅黑"/>
          <w:b/>
          <w:sz w:val="28"/>
          <w:szCs w:val="28"/>
        </w:rPr>
        <w:t>、颈椎牵引机（经济数控型）</w:t>
      </w:r>
    </w:p>
    <w:p>
      <w:pPr>
        <w:spacing w:after="24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(一)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、数量－台，预算控制价</w:t>
      </w:r>
      <w:r>
        <w:rPr>
          <w:rFonts w:hint="eastAsia" w:asciiTheme="minorEastAsia" w:hAnsiTheme="minorEastAsia" w:eastAsiaTheme="minorEastAsia"/>
          <w:b/>
          <w:bCs/>
          <w:szCs w:val="21"/>
          <w:lang w:val="en-US" w:eastAsia="zh-CN"/>
        </w:rPr>
        <w:t>2.8万</w:t>
      </w:r>
      <w:r>
        <w:rPr>
          <w:rFonts w:hint="eastAsia" w:asciiTheme="minorEastAsia" w:hAnsiTheme="minorEastAsia" w:eastAsiaTheme="minorEastAsia"/>
          <w:b/>
          <w:bCs/>
          <w:szCs w:val="21"/>
        </w:rPr>
        <w:t>元</w:t>
      </w:r>
    </w:p>
    <w:p>
      <w:pPr>
        <w:spacing w:after="240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(二)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技术参数：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1、电源电压：交流220V±22V   50Hz±1Hz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2、额定输入功率：35VA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3、颈椎牵引力：0~300N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*4、颈椎牵引行程：0~500mm 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5、牵引时间：0～99min可调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6、间歇牵引时间：0～9min可调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7、持续牵引时间：0～9min可调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8、牵引力、牵引行程及牵引时间均由微电脑控制；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9、数码显示，牵引力自动补偿；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10、具有8种不同的牵引模式；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11、简单的牵引数据输入法；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12、牵引力过大自动保护；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*13、多种安全设计（最大牵引力300N，患者控制应急开关，医务人员操作急退键）；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颈椎牵引角度可调节。</w:t>
      </w:r>
    </w:p>
    <w:p>
      <w:pPr>
        <w:spacing w:line="460" w:lineRule="exact"/>
        <w:ind w:firstLine="420" w:firstLineChars="200"/>
        <w:textAlignment w:val="baseline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14、国家中医药管理局中医诊疗设备推荐产品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15、生产企业注册资金≥6000万元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16、产品通过北京国医械华光认证有限公司（CMD）ISO9001、13485医疗器械质量管理体系认证。</w:t>
      </w:r>
    </w:p>
    <w:p>
      <w:pPr>
        <w:spacing w:line="460" w:lineRule="exact"/>
        <w:ind w:firstLine="420" w:firstLineChars="200"/>
        <w:textAlignment w:val="baseline"/>
        <w:rPr>
          <w:rFonts w:hint="eastAsia"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17、公司通过环境管理体系认证和职业健康安全管理体系认证。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18、产品通过（</w:t>
      </w:r>
      <w:r>
        <w:rPr>
          <w:rFonts w:asciiTheme="minorEastAsia" w:hAnsiTheme="minorEastAsia" w:eastAsiaTheme="minorEastAsia"/>
          <w:szCs w:val="21"/>
        </w:rPr>
        <w:t>NQA</w:t>
      </w:r>
      <w:r>
        <w:rPr>
          <w:rFonts w:hint="eastAsia" w:asciiTheme="minorEastAsia" w:hAnsiTheme="minorEastAsia" w:eastAsiaTheme="minorEastAsia"/>
          <w:szCs w:val="21"/>
        </w:rPr>
        <w:t>）</w:t>
      </w:r>
      <w:r>
        <w:rPr>
          <w:rFonts w:asciiTheme="minorEastAsia" w:hAnsiTheme="minorEastAsia" w:eastAsiaTheme="minorEastAsia"/>
          <w:szCs w:val="21"/>
        </w:rPr>
        <w:t>CE</w:t>
      </w:r>
      <w:r>
        <w:rPr>
          <w:rFonts w:hint="eastAsia" w:asciiTheme="minorEastAsia" w:hAnsiTheme="minorEastAsia" w:eastAsiaTheme="minorEastAsia"/>
          <w:szCs w:val="21"/>
        </w:rPr>
        <w:t>认证。</w:t>
      </w:r>
    </w:p>
    <w:p>
      <w:pPr>
        <w:spacing w:line="460" w:lineRule="exact"/>
        <w:ind w:firstLine="420" w:firstLineChars="200"/>
        <w:textAlignment w:val="baseline"/>
        <w:rPr>
          <w:rFonts w:hint="eastAsia" w:asciiTheme="minorEastAsia" w:hAnsiTheme="minorEastAsia" w:eastAsiaTheme="minorEastAsia"/>
          <w:szCs w:val="21"/>
        </w:rPr>
      </w:pPr>
    </w:p>
    <w:p>
      <w:pPr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第四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包</w:t>
      </w:r>
      <w:r>
        <w:rPr>
          <w:rFonts w:hint="eastAsia"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 w:cs="宋体"/>
          <w:b/>
          <w:bCs/>
          <w:spacing w:val="15"/>
          <w:kern w:val="0"/>
          <w:sz w:val="28"/>
          <w:szCs w:val="28"/>
        </w:rPr>
        <w:t>新生儿乙肝免疫球蛋白</w:t>
      </w:r>
    </w:p>
    <w:p>
      <w:pPr>
        <w:pStyle w:val="5"/>
        <w:numPr>
          <w:ilvl w:val="0"/>
          <w:numId w:val="2"/>
        </w:numPr>
        <w:shd w:val="clear" w:color="auto" w:fill="FFFFFF"/>
        <w:spacing w:line="378" w:lineRule="atLeast"/>
        <w:ind w:firstLineChars="0"/>
        <w:rPr>
          <w:rFonts w:hint="eastAsia" w:cs="宋体" w:asciiTheme="minorEastAsia" w:hAnsiTheme="minorEastAsia" w:eastAsiaTheme="minorEastAsia"/>
          <w:b/>
          <w:bCs/>
          <w:spacing w:val="15"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、</w:t>
      </w:r>
      <w:r>
        <w:rPr>
          <w:rFonts w:hint="eastAsia" w:cs="宋体" w:asciiTheme="minorEastAsia" w:hAnsiTheme="minorEastAsia" w:eastAsiaTheme="minorEastAsia"/>
          <w:b/>
          <w:bCs/>
          <w:spacing w:val="15"/>
          <w:kern w:val="0"/>
          <w:szCs w:val="21"/>
        </w:rPr>
        <w:t>规格数量：</w:t>
      </w:r>
    </w:p>
    <w:p>
      <w:pPr>
        <w:pStyle w:val="5"/>
        <w:shd w:val="clear" w:color="auto" w:fill="FFFFFF"/>
        <w:spacing w:line="378" w:lineRule="atLeast"/>
        <w:ind w:left="540" w:firstLine="0" w:firstLineChars="0"/>
        <w:rPr>
          <w:rFonts w:cs="宋体" w:asciiTheme="minorEastAsia" w:hAnsiTheme="minorEastAsia" w:eastAsiaTheme="minorEastAsia"/>
          <w:spacing w:val="15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spacing w:val="15"/>
          <w:kern w:val="0"/>
          <w:szCs w:val="21"/>
        </w:rPr>
        <w:t>100u×500支（含注射器</w:t>
      </w:r>
      <w:r>
        <w:rPr>
          <w:rFonts w:cs="宋体" w:asciiTheme="minorEastAsia" w:hAnsiTheme="minorEastAsia" w:eastAsiaTheme="minorEastAsia"/>
          <w:bCs/>
          <w:spacing w:val="15"/>
          <w:kern w:val="0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Cs w:val="21"/>
        </w:rPr>
        <w:t>，预算控制价90.00元/支</w:t>
      </w:r>
    </w:p>
    <w:p>
      <w:pPr>
        <w:spacing w:after="24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(二)</w:t>
      </w:r>
      <w:r>
        <w:rPr>
          <w:rFonts w:hint="eastAsia"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技术参数</w:t>
      </w:r>
    </w:p>
    <w:p>
      <w:pPr>
        <w:ind w:firstLine="422" w:firstLineChars="200"/>
        <w:rPr>
          <w:rFonts w:cs="宋体" w:asciiTheme="minorEastAsia" w:hAnsiTheme="minorEastAsia" w:eastAsiaTheme="minorEastAsia"/>
          <w:spacing w:val="30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（1）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规格：</w:t>
      </w:r>
      <w:r>
        <w:rPr>
          <w:rFonts w:cs="宋体" w:asciiTheme="minorEastAsia" w:hAnsiTheme="minorEastAsia" w:eastAsiaTheme="minorEastAsia"/>
          <w:spacing w:val="30"/>
          <w:szCs w:val="21"/>
        </w:rPr>
        <w:t>100IU(1ml)/1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支</w:t>
      </w:r>
      <w:r>
        <w:rPr>
          <w:rFonts w:cs="宋体" w:asciiTheme="minorEastAsia" w:hAnsiTheme="minorEastAsia" w:eastAsiaTheme="minorEastAsia"/>
          <w:spacing w:val="30"/>
          <w:szCs w:val="21"/>
        </w:rPr>
        <w:t>(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即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每支含抗</w:t>
      </w:r>
      <w:r>
        <w:rPr>
          <w:rFonts w:asciiTheme="minorEastAsia" w:hAnsiTheme="minorEastAsia" w:eastAsiaTheme="minorEastAsia"/>
          <w:szCs w:val="21"/>
          <w:shd w:val="clear" w:color="auto" w:fill="FFFFFF"/>
        </w:rPr>
        <w:t>-HBs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效价</w:t>
      </w:r>
      <w:r>
        <w:rPr>
          <w:rFonts w:asciiTheme="minorEastAsia" w:hAnsiTheme="minorEastAsia" w:eastAsiaTheme="minorEastAsia"/>
          <w:szCs w:val="21"/>
          <w:shd w:val="clear" w:color="auto" w:fill="FFFFFF"/>
        </w:rPr>
        <w:t>100IU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，装量</w:t>
      </w:r>
      <w:r>
        <w:rPr>
          <w:rFonts w:asciiTheme="minorEastAsia" w:hAnsiTheme="minorEastAsia" w:eastAsiaTheme="minorEastAsia"/>
          <w:szCs w:val="21"/>
          <w:shd w:val="clear" w:color="auto" w:fill="FFFFFF"/>
        </w:rPr>
        <w:t>1.0ml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，含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注射器</w:t>
      </w:r>
      <w:r>
        <w:rPr>
          <w:rFonts w:cs="宋体" w:asciiTheme="minorEastAsia" w:hAnsiTheme="minorEastAsia" w:eastAsiaTheme="minorEastAsia"/>
          <w:spacing w:val="30"/>
          <w:szCs w:val="21"/>
        </w:rPr>
        <w:t>)</w:t>
      </w:r>
    </w:p>
    <w:p>
      <w:pPr>
        <w:ind w:firstLine="405" w:firstLineChars="150"/>
        <w:rPr>
          <w:rFonts w:cs="宋体" w:asciiTheme="minorEastAsia" w:hAnsiTheme="minorEastAsia" w:eastAsiaTheme="minorEastAsia"/>
          <w:spacing w:val="30"/>
          <w:szCs w:val="21"/>
        </w:rPr>
      </w:pPr>
      <w:r>
        <w:rPr>
          <w:rFonts w:hint="eastAsia" w:cs="宋体" w:asciiTheme="minorEastAsia" w:hAnsiTheme="minorEastAsia" w:eastAsiaTheme="minorEastAsia"/>
          <w:spacing w:val="30"/>
          <w:szCs w:val="21"/>
        </w:rPr>
        <w:t>（2）装量：应不低于标示量。</w:t>
      </w:r>
    </w:p>
    <w:p>
      <w:pPr>
        <w:ind w:firstLine="405" w:firstLineChars="150"/>
        <w:rPr>
          <w:rFonts w:cs="宋体" w:asciiTheme="minorEastAsia" w:hAnsiTheme="minorEastAsia" w:eastAsiaTheme="minorEastAsia"/>
          <w:spacing w:val="30"/>
          <w:szCs w:val="21"/>
        </w:rPr>
      </w:pPr>
      <w:r>
        <w:rPr>
          <w:rFonts w:hint="eastAsia" w:cs="宋体" w:asciiTheme="minorEastAsia" w:hAnsiTheme="minorEastAsia" w:eastAsiaTheme="minorEastAsia"/>
          <w:spacing w:val="30"/>
          <w:szCs w:val="21"/>
        </w:rPr>
        <w:t>（3）免疫球蛋白纯度：应不低于蛋白质总量的</w:t>
      </w:r>
      <w:r>
        <w:rPr>
          <w:rFonts w:cs="宋体" w:asciiTheme="minorEastAsia" w:hAnsiTheme="minorEastAsia" w:eastAsiaTheme="minorEastAsia"/>
          <w:spacing w:val="30"/>
          <w:szCs w:val="21"/>
        </w:rPr>
        <w:t>90.0%</w:t>
      </w:r>
    </w:p>
    <w:p>
      <w:pPr>
        <w:spacing w:before="120" w:after="120"/>
        <w:ind w:firstLine="405" w:firstLineChars="150"/>
        <w:rPr>
          <w:rFonts w:cs="宋体" w:asciiTheme="minorEastAsia" w:hAnsiTheme="minorEastAsia" w:eastAsiaTheme="minorEastAsia"/>
          <w:spacing w:val="30"/>
          <w:szCs w:val="21"/>
        </w:rPr>
      </w:pPr>
      <w:r>
        <w:rPr>
          <w:rFonts w:hint="eastAsia" w:cs="宋体" w:asciiTheme="minorEastAsia" w:hAnsiTheme="minorEastAsia" w:eastAsiaTheme="minorEastAsia"/>
          <w:spacing w:val="30"/>
          <w:szCs w:val="21"/>
        </w:rPr>
        <w:t>（4）分子大小分布：</w:t>
      </w:r>
      <w:r>
        <w:rPr>
          <w:rFonts w:cs="宋体" w:asciiTheme="minorEastAsia" w:hAnsiTheme="minorEastAsia" w:eastAsiaTheme="minorEastAsia"/>
          <w:spacing w:val="30"/>
          <w:szCs w:val="21"/>
        </w:rPr>
        <w:t>IgG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单体及二聚体含量之和应不低于</w:t>
      </w:r>
      <w:r>
        <w:rPr>
          <w:rFonts w:cs="宋体" w:asciiTheme="minorEastAsia" w:hAnsiTheme="minorEastAsia" w:eastAsiaTheme="minorEastAsia"/>
          <w:spacing w:val="30"/>
          <w:szCs w:val="21"/>
        </w:rPr>
        <w:t>90.0%</w:t>
      </w:r>
    </w:p>
    <w:p>
      <w:pPr>
        <w:ind w:firstLine="405" w:firstLineChars="150"/>
        <w:rPr>
          <w:rFonts w:cs="宋体" w:asciiTheme="minorEastAsia" w:hAnsiTheme="minorEastAsia" w:eastAsiaTheme="minorEastAsia"/>
          <w:spacing w:val="30"/>
          <w:szCs w:val="21"/>
        </w:rPr>
      </w:pPr>
      <w:r>
        <w:rPr>
          <w:rFonts w:hint="eastAsia" w:cs="宋体" w:asciiTheme="minorEastAsia" w:hAnsiTheme="minorEastAsia" w:eastAsiaTheme="minorEastAsia"/>
          <w:spacing w:val="30"/>
          <w:szCs w:val="21"/>
        </w:rPr>
        <w:t>（5）有效期：自鉴定合格之日起，有效期为</w:t>
      </w:r>
      <w:r>
        <w:rPr>
          <w:rFonts w:cs="宋体" w:asciiTheme="minorEastAsia" w:hAnsiTheme="minorEastAsia" w:eastAsiaTheme="minorEastAsia"/>
          <w:spacing w:val="30"/>
          <w:szCs w:val="21"/>
        </w:rPr>
        <w:t>24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个月。到货时，实际有效期不少于</w:t>
      </w:r>
      <w:r>
        <w:rPr>
          <w:rFonts w:cs="宋体" w:asciiTheme="minorEastAsia" w:hAnsiTheme="minorEastAsia" w:eastAsiaTheme="minorEastAsia"/>
          <w:spacing w:val="30"/>
          <w:szCs w:val="21"/>
        </w:rPr>
        <w:t>18</w:t>
      </w:r>
      <w:r>
        <w:rPr>
          <w:rFonts w:hint="eastAsia" w:cs="宋体" w:asciiTheme="minorEastAsia" w:hAnsiTheme="minorEastAsia" w:eastAsiaTheme="minorEastAsia"/>
          <w:spacing w:val="30"/>
          <w:szCs w:val="21"/>
        </w:rPr>
        <w:t>个月。</w:t>
      </w:r>
    </w:p>
    <w:p>
      <w:pPr>
        <w:spacing w:after="240"/>
        <w:rPr>
          <w:rFonts w:hint="eastAsia" w:asciiTheme="minorEastAsia" w:hAnsiTheme="minorEastAsia" w:eastAsiaTheme="minorEastAsia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3F5A"/>
    <w:multiLevelType w:val="multilevel"/>
    <w:tmpl w:val="55893F5A"/>
    <w:lvl w:ilvl="0" w:tentative="0">
      <w:start w:val="2"/>
      <w:numFmt w:val="decimal"/>
      <w:suff w:val="nothing"/>
      <w:lvlText w:val="%1)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1C90A61"/>
    <w:multiLevelType w:val="multilevel"/>
    <w:tmpl w:val="71C90A61"/>
    <w:lvl w:ilvl="0" w:tentative="0">
      <w:start w:val="1"/>
      <w:numFmt w:val="japaneseCounting"/>
      <w:lvlText w:val="(%1)"/>
      <w:lvlJc w:val="left"/>
      <w:pPr>
        <w:ind w:left="540" w:hanging="54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73665"/>
    <w:rsid w:val="6DE73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2017-04-21T09:43:00Z</dcterms:created>
  <dc:creator>Administrator</dc:creator>
  <cp:lastModifiedBy>Administrator</cp:lastModifiedBy>
  <dcterms:modified xsi:type="dcterms:W3CDTF">2017-04-21T09:43:55Z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