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bidi w:val="0"/>
        <w:snapToGrid/>
        <w:spacing w:line="600" w:lineRule="exact"/>
        <w:rPr>
          <w:rFonts w:hint="eastAsia" w:ascii="黑体" w:hAnsi="黑体" w:eastAsia="黑体" w:cs="黑体"/>
          <w:b w:val="0"/>
          <w:bCs w:val="0"/>
          <w:sz w:val="32"/>
          <w:szCs w:val="32"/>
          <w:highlight w:val="white"/>
          <w:lang w:val="en-US" w:eastAsia="zh-CN"/>
        </w:rPr>
      </w:pPr>
      <w:bookmarkStart w:id="0" w:name="_Toc19608632"/>
      <w:r>
        <w:rPr>
          <w:rFonts w:hint="eastAsia" w:ascii="黑体" w:hAnsi="黑体" w:eastAsia="黑体" w:cs="黑体"/>
          <w:b w:val="0"/>
          <w:bCs w:val="0"/>
          <w:sz w:val="32"/>
          <w:szCs w:val="32"/>
          <w:highlight w:val="white"/>
        </w:rPr>
        <w:t>附</w:t>
      </w:r>
      <w:r>
        <w:rPr>
          <w:rFonts w:hint="eastAsia" w:ascii="黑体" w:hAnsi="黑体" w:eastAsia="黑体" w:cs="黑体"/>
          <w:b w:val="0"/>
          <w:bCs w:val="0"/>
          <w:sz w:val="32"/>
          <w:szCs w:val="32"/>
          <w:highlight w:val="white"/>
          <w:lang w:val="en-US" w:eastAsia="zh-CN"/>
        </w:rPr>
        <w:t>件</w:t>
      </w:r>
    </w:p>
    <w:p>
      <w:pPr>
        <w:pageBreakBefore w:val="0"/>
        <w:kinsoku/>
        <w:wordWrap/>
        <w:overflowPunct/>
        <w:topLinePunct w:val="0"/>
        <w:autoSpaceDE/>
        <w:bidi w:val="0"/>
        <w:snapToGrid/>
        <w:spacing w:line="600" w:lineRule="exact"/>
        <w:rPr>
          <w:rFonts w:hint="eastAsia" w:ascii="黑体" w:hAnsi="黑体" w:eastAsia="黑体" w:cs="黑体"/>
          <w:b w:val="0"/>
          <w:bCs w:val="0"/>
          <w:sz w:val="32"/>
          <w:szCs w:val="32"/>
          <w:highlight w:val="white"/>
          <w:lang w:val="en-US" w:eastAsia="zh-CN"/>
        </w:rPr>
      </w:pPr>
    </w:p>
    <w:p>
      <w:pPr>
        <w:pageBreakBefore w:val="0"/>
        <w:kinsoku/>
        <w:wordWrap/>
        <w:overflowPunct/>
        <w:topLinePunct w:val="0"/>
        <w:autoSpaceDE/>
        <w:bidi w:val="0"/>
        <w:snapToGrid/>
        <w:spacing w:line="600" w:lineRule="exact"/>
        <w:jc w:val="center"/>
        <w:rPr>
          <w:rFonts w:hint="eastAsia" w:ascii="方正小标宋_GBK" w:hAnsi="方正小标宋_GBK" w:eastAsia="方正小标宋_GBK" w:cs="方正小标宋_GBK"/>
          <w:b w:val="0"/>
          <w:bCs w:val="0"/>
          <w:spacing w:val="0"/>
          <w:sz w:val="44"/>
          <w:szCs w:val="44"/>
          <w:highlight w:val="white"/>
        </w:rPr>
      </w:pPr>
      <w:bookmarkStart w:id="10" w:name="_GoBack"/>
      <w:r>
        <w:rPr>
          <w:rFonts w:hint="eastAsia" w:ascii="方正小标宋_GBK" w:hAnsi="方正小标宋_GBK" w:eastAsia="方正小标宋_GBK" w:cs="方正小标宋_GBK"/>
          <w:b w:val="0"/>
          <w:bCs w:val="0"/>
          <w:spacing w:val="0"/>
          <w:sz w:val="44"/>
          <w:szCs w:val="44"/>
        </w:rPr>
        <w:t>采购新院</w:t>
      </w:r>
      <w:r>
        <w:rPr>
          <w:rFonts w:hint="eastAsia" w:ascii="方正小标宋_GBK" w:hAnsi="方正小标宋_GBK" w:eastAsia="方正小标宋_GBK" w:cs="方正小标宋_GBK"/>
          <w:b w:val="0"/>
          <w:bCs w:val="0"/>
          <w:spacing w:val="0"/>
          <w:kern w:val="0"/>
          <w:sz w:val="44"/>
          <w:szCs w:val="44"/>
          <w:shd w:val="clear" w:color="auto" w:fill="FFFFFF"/>
        </w:rPr>
        <w:t>新冠肺炎疫情防控</w:t>
      </w:r>
      <w:r>
        <w:rPr>
          <w:rFonts w:hint="eastAsia" w:ascii="方正小标宋_GBK" w:hAnsi="方正小标宋_GBK" w:eastAsia="方正小标宋_GBK" w:cs="方正小标宋_GBK"/>
          <w:b w:val="0"/>
          <w:bCs w:val="0"/>
          <w:color w:val="333333"/>
          <w:spacing w:val="0"/>
          <w:sz w:val="44"/>
          <w:szCs w:val="44"/>
          <w:shd w:val="clear" w:color="auto" w:fill="FFFFFF"/>
        </w:rPr>
        <w:t>医学留观室用</w:t>
      </w:r>
      <w:r>
        <w:rPr>
          <w:rFonts w:hint="eastAsia" w:ascii="方正小标宋_GBK" w:hAnsi="方正小标宋_GBK" w:eastAsia="方正小标宋_GBK" w:cs="方正小标宋_GBK"/>
          <w:b w:val="0"/>
          <w:bCs w:val="0"/>
          <w:spacing w:val="0"/>
          <w:sz w:val="44"/>
          <w:szCs w:val="44"/>
        </w:rPr>
        <w:t>医疗推车等一批</w:t>
      </w:r>
      <w:r>
        <w:rPr>
          <w:rFonts w:hint="eastAsia" w:ascii="方正小标宋_GBK" w:hAnsi="方正小标宋_GBK" w:eastAsia="方正小标宋_GBK" w:cs="方正小标宋_GBK"/>
          <w:b w:val="0"/>
          <w:bCs w:val="0"/>
          <w:spacing w:val="0"/>
          <w:sz w:val="44"/>
          <w:szCs w:val="44"/>
          <w:highlight w:val="white"/>
        </w:rPr>
        <w:t>技术参数、</w:t>
      </w:r>
      <w:r>
        <w:rPr>
          <w:rStyle w:val="8"/>
          <w:rFonts w:hint="eastAsia" w:ascii="方正小标宋_GBK" w:hAnsi="方正小标宋_GBK" w:eastAsia="方正小标宋_GBK" w:cs="方正小标宋_GBK"/>
          <w:b w:val="0"/>
          <w:bCs w:val="0"/>
          <w:color w:val="auto"/>
          <w:spacing w:val="0"/>
          <w:sz w:val="44"/>
          <w:szCs w:val="44"/>
          <w:u w:val="none"/>
          <w:shd w:val="clear" w:color="auto" w:fill="FFFFFF"/>
        </w:rPr>
        <w:t>预算控价</w:t>
      </w:r>
      <w:r>
        <w:rPr>
          <w:rFonts w:hint="eastAsia" w:ascii="方正小标宋_GBK" w:hAnsi="方正小标宋_GBK" w:eastAsia="方正小标宋_GBK" w:cs="方正小标宋_GBK"/>
          <w:b w:val="0"/>
          <w:bCs w:val="0"/>
          <w:spacing w:val="0"/>
          <w:sz w:val="44"/>
          <w:szCs w:val="44"/>
          <w:highlight w:val="white"/>
        </w:rPr>
        <w:t>及</w:t>
      </w:r>
    </w:p>
    <w:p>
      <w:pPr>
        <w:pageBreakBefore w:val="0"/>
        <w:kinsoku/>
        <w:wordWrap/>
        <w:overflowPunct/>
        <w:topLinePunct w:val="0"/>
        <w:autoSpaceDE/>
        <w:bidi w:val="0"/>
        <w:snapToGrid/>
        <w:spacing w:line="600" w:lineRule="exact"/>
        <w:jc w:val="center"/>
        <w:rPr>
          <w:rFonts w:hint="eastAsia" w:ascii="方正小标宋_GBK" w:hAnsi="方正小标宋_GBK" w:eastAsia="方正小标宋_GBK" w:cs="方正小标宋_GBK"/>
          <w:b w:val="0"/>
          <w:bCs w:val="0"/>
          <w:spacing w:val="0"/>
          <w:sz w:val="44"/>
          <w:szCs w:val="44"/>
          <w:highlight w:val="white"/>
        </w:rPr>
      </w:pPr>
      <w:r>
        <w:rPr>
          <w:rFonts w:hint="eastAsia" w:ascii="方正小标宋_GBK" w:hAnsi="方正小标宋_GBK" w:eastAsia="方正小标宋_GBK" w:cs="方正小标宋_GBK"/>
          <w:b w:val="0"/>
          <w:bCs w:val="0"/>
          <w:spacing w:val="0"/>
          <w:sz w:val="44"/>
          <w:szCs w:val="44"/>
          <w:highlight w:val="white"/>
        </w:rPr>
        <w:t>商务要求</w:t>
      </w:r>
      <w:bookmarkEnd w:id="0"/>
    </w:p>
    <w:bookmarkEnd w:id="10"/>
    <w:p>
      <w:pPr>
        <w:pageBreakBefore w:val="0"/>
        <w:kinsoku/>
        <w:wordWrap/>
        <w:overflowPunct/>
        <w:topLinePunct w:val="0"/>
        <w:autoSpaceDE/>
        <w:bidi w:val="0"/>
        <w:snapToGrid/>
        <w:spacing w:line="600" w:lineRule="exact"/>
        <w:jc w:val="center"/>
        <w:rPr>
          <w:rStyle w:val="8"/>
          <w:rFonts w:hint="eastAsia" w:ascii="楷体" w:hAnsi="楷体" w:eastAsia="楷体" w:cs="楷体"/>
          <w:color w:val="auto"/>
          <w:spacing w:val="15"/>
          <w:sz w:val="32"/>
          <w:szCs w:val="32"/>
          <w:u w:val="none"/>
          <w:shd w:val="clear" w:color="auto" w:fill="FFFFFF"/>
        </w:rPr>
      </w:pPr>
      <w:bookmarkStart w:id="1" w:name="EB76b35d4f8e134ca4acf664ad434fc5a8"/>
      <w:r>
        <w:rPr>
          <w:rStyle w:val="8"/>
          <w:rFonts w:hint="eastAsia" w:ascii="楷体" w:hAnsi="楷体" w:eastAsia="楷体" w:cs="楷体"/>
          <w:color w:val="auto"/>
          <w:spacing w:val="15"/>
          <w:sz w:val="32"/>
          <w:szCs w:val="32"/>
          <w:u w:val="none"/>
          <w:shd w:val="clear" w:color="auto" w:fill="FFFFFF"/>
        </w:rPr>
        <w:t>(共一包,总预算控制价:</w:t>
      </w:r>
      <w:r>
        <w:rPr>
          <w:rStyle w:val="8"/>
          <w:rFonts w:hint="eastAsia" w:ascii="楷体" w:hAnsi="楷体" w:eastAsia="楷体" w:cs="楷体"/>
          <w:color w:val="auto"/>
          <w:spacing w:val="15"/>
          <w:sz w:val="32"/>
          <w:szCs w:val="32"/>
          <w:u w:val="none"/>
          <w:shd w:val="clear" w:color="auto" w:fill="FFFFFF"/>
          <w:lang w:val="en-US" w:eastAsia="zh-CN"/>
        </w:rPr>
        <w:t>16.46</w:t>
      </w:r>
      <w:r>
        <w:rPr>
          <w:rStyle w:val="8"/>
          <w:rFonts w:hint="eastAsia" w:ascii="楷体" w:hAnsi="楷体" w:eastAsia="楷体" w:cs="楷体"/>
          <w:color w:val="auto"/>
          <w:spacing w:val="15"/>
          <w:sz w:val="32"/>
          <w:szCs w:val="32"/>
          <w:u w:val="none"/>
          <w:shd w:val="clear" w:color="auto" w:fill="FFFFFF"/>
        </w:rPr>
        <w:t>万元)</w:t>
      </w:r>
    </w:p>
    <w:p>
      <w:pPr>
        <w:pageBreakBefore w:val="0"/>
        <w:kinsoku/>
        <w:wordWrap/>
        <w:overflowPunct/>
        <w:topLinePunct w:val="0"/>
        <w:autoSpaceDE/>
        <w:bidi w:val="0"/>
        <w:snapToGrid/>
        <w:spacing w:line="600" w:lineRule="exact"/>
        <w:jc w:val="center"/>
        <w:rPr>
          <w:rStyle w:val="8"/>
          <w:rFonts w:hint="eastAsia" w:ascii="楷体" w:hAnsi="楷体" w:eastAsia="楷体" w:cs="楷体"/>
          <w:color w:val="auto"/>
          <w:spacing w:val="15"/>
          <w:sz w:val="32"/>
          <w:szCs w:val="32"/>
          <w:u w:val="none"/>
          <w:shd w:val="clear" w:color="auto" w:fill="FFFFFF"/>
        </w:rPr>
      </w:pPr>
    </w:p>
    <w:p>
      <w:pPr>
        <w:pStyle w:val="12"/>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3" w:firstLineChars="200"/>
        <w:textAlignment w:val="auto"/>
        <w:rPr>
          <w:rFonts w:hint="eastAsia" w:ascii="黑体" w:hAnsi="黑体" w:eastAsia="黑体" w:cs="黑体"/>
          <w:bCs w:val="0"/>
          <w:sz w:val="32"/>
          <w:szCs w:val="32"/>
          <w:lang w:val="zh-CN"/>
        </w:rPr>
      </w:pPr>
      <w:bookmarkStart w:id="2" w:name="_Toc19608633"/>
      <w:r>
        <w:rPr>
          <w:rFonts w:hint="eastAsia" w:ascii="黑体" w:hAnsi="黑体" w:eastAsia="黑体" w:cs="黑体"/>
          <w:bCs w:val="0"/>
          <w:sz w:val="32"/>
          <w:szCs w:val="32"/>
          <w:lang w:val="en-US" w:eastAsia="zh-CN"/>
        </w:rPr>
        <w:t>一、</w:t>
      </w:r>
      <w:r>
        <w:rPr>
          <w:rFonts w:hint="eastAsia" w:ascii="黑体" w:hAnsi="黑体" w:eastAsia="黑体" w:cs="黑体"/>
          <w:bCs w:val="0"/>
          <w:sz w:val="32"/>
          <w:szCs w:val="32"/>
          <w:lang w:val="zh-CN"/>
        </w:rPr>
        <w:t>项目概述</w:t>
      </w:r>
      <w:bookmarkEnd w:id="2"/>
    </w:p>
    <w:p>
      <w:pPr>
        <w:pStyle w:val="12"/>
        <w:pageBreakBefore w:val="0"/>
        <w:widowControl w:val="0"/>
        <w:kinsoku/>
        <w:wordWrap/>
        <w:overflowPunct/>
        <w:topLinePunct w:val="0"/>
        <w:autoSpaceDE/>
        <w:autoSpaceDN/>
        <w:bidi w:val="0"/>
        <w:snapToGrid/>
        <w:spacing w:before="0" w:after="0" w:line="600" w:lineRule="exact"/>
        <w:ind w:left="0" w:firstLine="640" w:firstLineChars="200"/>
        <w:textAlignment w:val="auto"/>
        <w:rPr>
          <w:rFonts w:hint="eastAsia" w:ascii="仿宋_GB2312" w:hAnsi="仿宋_GB2312" w:eastAsia="仿宋_GB2312" w:cs="仿宋_GB2312"/>
          <w:b w:val="0"/>
          <w:bCs w:val="0"/>
          <w:sz w:val="32"/>
          <w:szCs w:val="32"/>
        </w:rPr>
      </w:pPr>
      <w:bookmarkStart w:id="3" w:name="_Toc19608634"/>
      <w:r>
        <w:rPr>
          <w:rFonts w:hint="eastAsia" w:ascii="仿宋_GB2312" w:hAnsi="仿宋_GB2312" w:eastAsia="仿宋_GB2312" w:cs="仿宋_GB2312"/>
          <w:b w:val="0"/>
          <w:bCs w:val="0"/>
          <w:sz w:val="32"/>
          <w:szCs w:val="32"/>
        </w:rPr>
        <w:t>采购新院</w:t>
      </w:r>
      <w:r>
        <w:rPr>
          <w:rFonts w:hint="eastAsia" w:ascii="仿宋_GB2312" w:hAnsi="仿宋_GB2312" w:eastAsia="仿宋_GB2312" w:cs="仿宋_GB2312"/>
          <w:b w:val="0"/>
          <w:bCs w:val="0"/>
          <w:spacing w:val="15"/>
          <w:kern w:val="0"/>
          <w:sz w:val="32"/>
          <w:szCs w:val="32"/>
          <w:shd w:val="clear" w:color="auto" w:fill="FFFFFF"/>
        </w:rPr>
        <w:t>新冠肺炎疫情防控</w:t>
      </w:r>
      <w:r>
        <w:rPr>
          <w:rFonts w:hint="eastAsia" w:ascii="仿宋_GB2312" w:hAnsi="仿宋_GB2312" w:eastAsia="仿宋_GB2312" w:cs="仿宋_GB2312"/>
          <w:b w:val="0"/>
          <w:bCs w:val="0"/>
          <w:color w:val="333333"/>
          <w:spacing w:val="15"/>
          <w:sz w:val="32"/>
          <w:szCs w:val="32"/>
          <w:shd w:val="clear" w:color="auto" w:fill="FFFFFF"/>
        </w:rPr>
        <w:t>医学留观室用</w:t>
      </w:r>
      <w:r>
        <w:rPr>
          <w:rFonts w:hint="eastAsia" w:ascii="仿宋_GB2312" w:hAnsi="仿宋_GB2312" w:eastAsia="仿宋_GB2312" w:cs="仿宋_GB2312"/>
          <w:b w:val="0"/>
          <w:bCs w:val="0"/>
          <w:sz w:val="32"/>
          <w:szCs w:val="32"/>
        </w:rPr>
        <w:t>医疗推车等一批项目。</w:t>
      </w:r>
      <w:bookmarkEnd w:id="3"/>
    </w:p>
    <w:p>
      <w:pPr>
        <w:pStyle w:val="12"/>
        <w:keepNext/>
        <w:keepLines/>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3" w:firstLineChars="200"/>
        <w:textAlignment w:val="auto"/>
        <w:rPr>
          <w:rFonts w:hint="eastAsia" w:ascii="黑体" w:hAnsi="黑体" w:eastAsia="黑体" w:cs="黑体"/>
          <w:bCs w:val="0"/>
          <w:sz w:val="32"/>
          <w:szCs w:val="32"/>
          <w:lang w:val="zh-CN" w:eastAsia="zh-CN"/>
        </w:rPr>
      </w:pPr>
      <w:bookmarkStart w:id="4" w:name="_Toc19608635"/>
      <w:r>
        <w:rPr>
          <w:rFonts w:hint="eastAsia" w:ascii="黑体" w:hAnsi="黑体" w:eastAsia="黑体" w:cs="黑体"/>
          <w:bCs w:val="0"/>
          <w:sz w:val="32"/>
          <w:szCs w:val="32"/>
          <w:lang w:val="zh-CN" w:eastAsia="zh-CN"/>
        </w:rPr>
        <w:t>二、项目清单、技术参数、实物图片等要求</w:t>
      </w:r>
      <w:bookmarkEnd w:id="4"/>
    </w:p>
    <w:p>
      <w:pPr>
        <w:pStyle w:val="13"/>
        <w:pageBreakBefore w:val="0"/>
        <w:widowControl w:val="0"/>
        <w:kinsoku/>
        <w:wordWrap/>
        <w:overflowPunct/>
        <w:topLinePunct w:val="0"/>
        <w:autoSpaceDE/>
        <w:autoSpaceDN/>
        <w:bidi w:val="0"/>
        <w:adjustRightInd w:val="0"/>
        <w:snapToGrid/>
        <w:spacing w:line="600" w:lineRule="exact"/>
        <w:ind w:left="0" w:firstLine="640" w:firstLineChars="200"/>
        <w:textAlignment w:val="auto"/>
        <w:rPr>
          <w:rFonts w:hint="eastAsia" w:ascii="楷体" w:hAnsi="楷体" w:eastAsia="楷体" w:cs="楷体"/>
          <w:sz w:val="32"/>
          <w:szCs w:val="32"/>
          <w:lang w:val="zh-CN"/>
        </w:rPr>
      </w:pPr>
      <w:r>
        <w:rPr>
          <w:rFonts w:hint="eastAsia" w:ascii="楷体" w:hAnsi="楷体" w:eastAsia="楷体" w:cs="楷体"/>
          <w:sz w:val="32"/>
          <w:szCs w:val="32"/>
          <w:lang w:val="zh-CN"/>
        </w:rPr>
        <w:t>（一）采购清单</w:t>
      </w:r>
    </w:p>
    <w:tbl>
      <w:tblPr>
        <w:tblStyle w:val="5"/>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3000"/>
        <w:gridCol w:w="3405"/>
        <w:gridCol w:w="1080"/>
        <w:gridCol w:w="1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88"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sz w:val="32"/>
                <w:szCs w:val="32"/>
              </w:rPr>
            </w:pPr>
            <w:bookmarkStart w:id="5" w:name="_Toc19608636"/>
            <w:r>
              <w:rPr>
                <w:rFonts w:hint="eastAsia" w:ascii="仿宋_GB2312" w:hAnsi="仿宋_GB2312" w:eastAsia="仿宋_GB2312" w:cs="仿宋_GB2312"/>
                <w:sz w:val="32"/>
                <w:szCs w:val="32"/>
              </w:rPr>
              <w:t>序号</w:t>
            </w:r>
            <w:bookmarkEnd w:id="5"/>
          </w:p>
        </w:tc>
        <w:tc>
          <w:tcPr>
            <w:tcW w:w="3000"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sz w:val="32"/>
                <w:szCs w:val="32"/>
              </w:rPr>
            </w:pPr>
            <w:bookmarkStart w:id="6" w:name="_Toc19608637"/>
            <w:r>
              <w:rPr>
                <w:rFonts w:hint="eastAsia" w:ascii="仿宋_GB2312" w:hAnsi="仿宋_GB2312" w:eastAsia="仿宋_GB2312" w:cs="仿宋_GB2312"/>
                <w:sz w:val="32"/>
                <w:szCs w:val="32"/>
              </w:rPr>
              <w:t>货物名称/服务名称</w:t>
            </w:r>
            <w:bookmarkEnd w:id="6"/>
          </w:p>
        </w:tc>
        <w:tc>
          <w:tcPr>
            <w:tcW w:w="3405"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sz w:val="32"/>
                <w:szCs w:val="32"/>
              </w:rPr>
            </w:pPr>
            <w:bookmarkStart w:id="7" w:name="_Toc19608638"/>
            <w:r>
              <w:rPr>
                <w:rFonts w:hint="eastAsia" w:ascii="仿宋_GB2312" w:hAnsi="仿宋_GB2312" w:eastAsia="仿宋_GB2312" w:cs="仿宋_GB2312"/>
                <w:sz w:val="32"/>
                <w:szCs w:val="32"/>
              </w:rPr>
              <w:t>参数要求/服务要求</w:t>
            </w:r>
            <w:bookmarkEnd w:id="7"/>
          </w:p>
        </w:tc>
        <w:tc>
          <w:tcPr>
            <w:tcW w:w="1080"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sz w:val="32"/>
                <w:szCs w:val="32"/>
              </w:rPr>
            </w:pPr>
            <w:bookmarkStart w:id="8" w:name="_Toc19608639"/>
            <w:r>
              <w:rPr>
                <w:rFonts w:hint="eastAsia" w:ascii="仿宋_GB2312" w:hAnsi="仿宋_GB2312" w:eastAsia="仿宋_GB2312" w:cs="仿宋_GB2312"/>
                <w:sz w:val="32"/>
                <w:szCs w:val="32"/>
              </w:rPr>
              <w:t>采购数量</w:t>
            </w:r>
            <w:bookmarkEnd w:id="8"/>
          </w:p>
        </w:tc>
        <w:tc>
          <w:tcPr>
            <w:tcW w:w="1032" w:type="dxa"/>
            <w:vAlign w:val="center"/>
          </w:tcPr>
          <w:p>
            <w:pPr>
              <w:pStyle w:val="13"/>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sz w:val="32"/>
                <w:szCs w:val="32"/>
              </w:rPr>
            </w:pPr>
            <w:bookmarkStart w:id="9" w:name="_Toc19608640"/>
            <w:r>
              <w:rPr>
                <w:rFonts w:hint="eastAsia" w:ascii="仿宋_GB2312" w:hAnsi="仿宋_GB2312" w:eastAsia="仿宋_GB2312" w:cs="仿宋_GB2312"/>
                <w:sz w:val="32"/>
                <w:szCs w:val="32"/>
              </w:rPr>
              <w:t>计量单位</w:t>
            </w:r>
            <w:bookmarkEnd w:id="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988" w:type="dxa"/>
            <w:tcBorders>
              <w:top w:val="nil"/>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3000" w:type="dxa"/>
            <w:tcBorders>
              <w:top w:val="nil"/>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ABS医疗推车</w:t>
            </w:r>
          </w:p>
        </w:tc>
        <w:tc>
          <w:tcPr>
            <w:tcW w:w="3405" w:type="dxa"/>
            <w:tcBorders>
              <w:top w:val="nil"/>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详见其他技术要求/服务要求</w:t>
            </w:r>
          </w:p>
        </w:tc>
        <w:tc>
          <w:tcPr>
            <w:tcW w:w="1080" w:type="dxa"/>
            <w:tcBorders>
              <w:top w:val="nil"/>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1032" w:type="dxa"/>
            <w:tcBorders>
              <w:top w:val="nil"/>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988" w:type="dxa"/>
            <w:tcBorders>
              <w:top w:val="nil"/>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3000" w:type="dxa"/>
            <w:tcBorders>
              <w:top w:val="nil"/>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不锈钢无菌推车</w:t>
            </w:r>
          </w:p>
        </w:tc>
        <w:tc>
          <w:tcPr>
            <w:tcW w:w="3405" w:type="dxa"/>
            <w:tcBorders>
              <w:top w:val="nil"/>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详见其他技术要求/服务要求</w:t>
            </w:r>
          </w:p>
        </w:tc>
        <w:tc>
          <w:tcPr>
            <w:tcW w:w="1080" w:type="dxa"/>
            <w:tcBorders>
              <w:top w:val="nil"/>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032" w:type="dxa"/>
            <w:tcBorders>
              <w:top w:val="nil"/>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5" w:hRule="atLeast"/>
          <w:jc w:val="center"/>
        </w:trPr>
        <w:tc>
          <w:tcPr>
            <w:tcW w:w="988" w:type="dxa"/>
            <w:tcBorders>
              <w:top w:val="nil"/>
              <w:left w:val="single" w:color="auto" w:sz="4" w:space="0"/>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p>
        </w:tc>
        <w:tc>
          <w:tcPr>
            <w:tcW w:w="3000" w:type="dxa"/>
            <w:tcBorders>
              <w:top w:val="nil"/>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不锈钢陪护椅</w:t>
            </w:r>
          </w:p>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p>
        </w:tc>
        <w:tc>
          <w:tcPr>
            <w:tcW w:w="3405" w:type="dxa"/>
            <w:tcBorders>
              <w:top w:val="nil"/>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详见其他技术要求/服务要求</w:t>
            </w:r>
          </w:p>
        </w:tc>
        <w:tc>
          <w:tcPr>
            <w:tcW w:w="1080" w:type="dxa"/>
            <w:tcBorders>
              <w:top w:val="nil"/>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100</w:t>
            </w:r>
          </w:p>
        </w:tc>
        <w:tc>
          <w:tcPr>
            <w:tcW w:w="1032" w:type="dxa"/>
            <w:tcBorders>
              <w:top w:val="nil"/>
              <w:left w:val="nil"/>
              <w:bottom w:val="single" w:color="auto" w:sz="4" w:space="0"/>
              <w:right w:val="single" w:color="auto" w:sz="4" w:space="0"/>
            </w:tcBorders>
            <w:vAlign w:val="center"/>
          </w:tcPr>
          <w:p>
            <w:pPr>
              <w:pStyle w:val="13"/>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w:t>
            </w:r>
          </w:p>
        </w:tc>
      </w:tr>
    </w:tbl>
    <w:p>
      <w:pPr>
        <w:pStyle w:val="13"/>
        <w:keepNext w:val="0"/>
        <w:keepLines w:val="0"/>
        <w:pageBreakBefore w:val="0"/>
        <w:widowControl w:val="0"/>
        <w:kinsoku/>
        <w:wordWrap/>
        <w:overflowPunct/>
        <w:topLinePunct w:val="0"/>
        <w:autoSpaceDE/>
        <w:autoSpaceDN/>
        <w:bidi w:val="0"/>
        <w:adjustRightInd w:val="0"/>
        <w:snapToGrid/>
        <w:spacing w:line="600" w:lineRule="exact"/>
        <w:ind w:firstLine="640" w:firstLineChars="200"/>
        <w:textAlignment w:val="auto"/>
        <w:rPr>
          <w:rFonts w:hint="eastAsia" w:ascii="楷体" w:hAnsi="楷体" w:eastAsia="楷体" w:cs="楷体"/>
          <w:sz w:val="32"/>
          <w:szCs w:val="32"/>
          <w:lang w:val="zh-CN"/>
        </w:rPr>
      </w:pPr>
      <w:r>
        <w:rPr>
          <w:rFonts w:hint="eastAsia" w:ascii="楷体" w:hAnsi="楷体" w:eastAsia="楷体" w:cs="楷体"/>
          <w:sz w:val="32"/>
          <w:szCs w:val="32"/>
          <w:lang w:val="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val="zh-CN"/>
        </w:rPr>
        <w:t>）详细参数及技术要求、实物图片</w:t>
      </w:r>
    </w:p>
    <w:p>
      <w:pPr>
        <w:pageBreakBefore w:val="0"/>
        <w:widowControl/>
        <w:shd w:val="clear" w:color="auto" w:fill="FFFFFF"/>
        <w:kinsoku/>
        <w:wordWrap/>
        <w:overflowPunct/>
        <w:topLinePunct w:val="0"/>
        <w:autoSpaceDE/>
        <w:bidi w:val="0"/>
        <w:snapToGrid/>
        <w:spacing w:line="600" w:lineRule="exact"/>
        <w:ind w:firstLine="420"/>
        <w:jc w:val="center"/>
        <w:rPr>
          <w:rFonts w:hint="eastAsia" w:ascii="仿宋_GB2312" w:hAnsi="仿宋_GB2312" w:eastAsia="仿宋_GB2312" w:cs="仿宋_GB2312"/>
          <w:b/>
          <w:bCs/>
          <w:sz w:val="32"/>
          <w:szCs w:val="32"/>
        </w:rPr>
      </w:pPr>
    </w:p>
    <w:p>
      <w:pPr>
        <w:pageBreakBefore w:val="0"/>
        <w:widowControl/>
        <w:shd w:val="clear" w:color="auto" w:fill="FFFFFF"/>
        <w:kinsoku/>
        <w:wordWrap/>
        <w:overflowPunct/>
        <w:topLinePunct w:val="0"/>
        <w:autoSpaceDE/>
        <w:bidi w:val="0"/>
        <w:snapToGrid/>
        <w:spacing w:line="600" w:lineRule="exact"/>
        <w:ind w:firstLine="420"/>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ABS医疗推车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规格：740mm*520mm*960mm；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2.▲推车立柱采用高强度铝合金型材，侧板与背板采用厚度为4mm优质工业铝塑板，整体搭配合理，外形美观，推行轻便；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台面及底座采用ABS高级工程塑料一次性注塑成型，台面三方带ABS围栏，外表光洁、美观；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抽屉主要由抽屉面板、抽屉框架、抽屉塑料药盘和活动分隔板组成，抽屉面板和框架为钢制结构，抽屉拉手为ABS弧形拉手；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抽屉采用优质三节静音滑槽，有效伸缩距离为60cm,确保抽屉能够完全拉出，便于使用，后方带自锁功能；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6.▲抽屉分为三种规格，内置三种不同规格的活动式塑料筐，每只塑料筐承重≥60Kg,塑料筐规格为（长×宽×高）： 400×600×200mm（大号）； 400×600×100mm（中号）； 400×600×50mm（小号）。三种规格的抽屉可以根据科室的要求进行多种组合；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抽屉内部配置标准ABS塑料活动式隔条，用户可以根据需要进行自由组合（ABS塑料活动式隔条既能实现平均分隔，也能实现异形分隔），并配置标准的标识牌，可对每一分隔进行标识，实现物品放置分类明确、标识明确。充分提升药品存放量，改善医院形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 整车配置一个中号抽屉，带锁，抽屉下方设置放物平台，平台配置三方围栏，方便物品堆放；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9. 输液车后方输液架为插入式，根据需要可自行调节高度。框架材料采用Φ25不锈钢圆管，带两个输液横杆，横杆上分别带ABS输液挂钩4个；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 配置ABS文件盒一个，右侧配置锐器盒一个以及两个塑料翻盖式污物桶，推车右侧面带侧抽板，方便存放物品；推车左侧带铝合金扶手，便于推车推行；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整车配置4只4寸丝杆单片空心轮，外罩包ABS防缠绕，坚固耐用，外表美观；其中2只脚轮配置刹车，可在任意状态下使用刹车功能。</w:t>
      </w:r>
    </w:p>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2133600" cy="2400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133600" cy="2400300"/>
                    </a:xfrm>
                    <a:prstGeom prst="rect">
                      <a:avLst/>
                    </a:prstGeom>
                    <a:noFill/>
                    <a:ln>
                      <a:noFill/>
                    </a:ln>
                  </pic:spPr>
                </pic:pic>
              </a:graphicData>
            </a:graphic>
          </wp:inline>
        </w:drawing>
      </w:r>
    </w:p>
    <w:p>
      <w:pPr>
        <w:pageBreakBefore w:val="0"/>
        <w:kinsoku/>
        <w:wordWrap/>
        <w:overflowPunct/>
        <w:topLinePunct w:val="0"/>
        <w:autoSpaceDE/>
        <w:bidi w:val="0"/>
        <w:snapToGrid/>
        <w:spacing w:line="600" w:lineRule="exact"/>
        <w:jc w:val="left"/>
        <w:rPr>
          <w:rFonts w:hint="eastAsia" w:ascii="仿宋_GB2312" w:hAnsi="仿宋_GB2312" w:eastAsia="仿宋_GB2312" w:cs="仿宋_GB2312"/>
          <w:sz w:val="32"/>
          <w:szCs w:val="32"/>
        </w:rPr>
      </w:pPr>
    </w:p>
    <w:p>
      <w:pPr>
        <w:pageBreakBefore w:val="0"/>
        <w:kinsoku/>
        <w:wordWrap/>
        <w:overflowPunct/>
        <w:topLinePunct w:val="0"/>
        <w:autoSpaceDE/>
        <w:bidi w:val="0"/>
        <w:snapToGrid/>
        <w:spacing w:line="600" w:lineRule="exact"/>
        <w:jc w:val="left"/>
        <w:rPr>
          <w:rFonts w:hint="eastAsia" w:ascii="仿宋_GB2312" w:hAnsi="仿宋_GB2312" w:eastAsia="仿宋_GB2312" w:cs="仿宋_GB2312"/>
          <w:sz w:val="32"/>
          <w:szCs w:val="32"/>
        </w:rPr>
      </w:pPr>
    </w:p>
    <w:p>
      <w:pPr>
        <w:pageBreakBefore w:val="0"/>
        <w:kinsoku/>
        <w:wordWrap/>
        <w:overflowPunct/>
        <w:topLinePunct w:val="0"/>
        <w:autoSpaceDE/>
        <w:bidi w:val="0"/>
        <w:snapToGrid/>
        <w:spacing w:line="600" w:lineRule="exact"/>
        <w:jc w:val="left"/>
        <w:rPr>
          <w:rFonts w:hint="eastAsia" w:ascii="仿宋_GB2312" w:hAnsi="仿宋_GB2312" w:eastAsia="仿宋_GB2312" w:cs="仿宋_GB2312"/>
          <w:sz w:val="32"/>
          <w:szCs w:val="32"/>
        </w:rPr>
      </w:pPr>
    </w:p>
    <w:p>
      <w:pPr>
        <w:pageBreakBefore w:val="0"/>
        <w:kinsoku/>
        <w:wordWrap/>
        <w:overflowPunct/>
        <w:topLinePunct w:val="0"/>
        <w:autoSpaceDE/>
        <w:bidi w:val="0"/>
        <w:snapToGrid/>
        <w:spacing w:line="600" w:lineRule="exact"/>
        <w:jc w:val="center"/>
        <w:rPr>
          <w:rFonts w:hint="eastAsia" w:ascii="方正小标宋_GBK" w:hAnsi="方正小标宋_GBK" w:eastAsia="方正小标宋_GBK" w:cs="方正小标宋_GBK"/>
          <w:b w:val="0"/>
          <w:bCs w:val="0"/>
          <w:sz w:val="32"/>
          <w:szCs w:val="32"/>
        </w:rPr>
      </w:pPr>
      <w:r>
        <w:rPr>
          <w:rFonts w:hint="eastAsia" w:ascii="方正小标宋_GBK" w:hAnsi="方正小标宋_GBK" w:eastAsia="方正小标宋_GBK" w:cs="方正小标宋_GBK"/>
          <w:b w:val="0"/>
          <w:bCs w:val="0"/>
          <w:sz w:val="32"/>
          <w:szCs w:val="32"/>
        </w:rPr>
        <w:t>不锈钢无菌推车</w:t>
      </w:r>
    </w:p>
    <w:p>
      <w:pPr>
        <w:pStyle w:val="11"/>
        <w:keepNext w:val="0"/>
        <w:keepLines w:val="0"/>
        <w:pageBreakBefore w:val="0"/>
        <w:widowControl w:val="0"/>
        <w:numPr>
          <w:numId w:val="0"/>
        </w:numPr>
        <w:kinsoku/>
        <w:wordWrap/>
        <w:overflowPunct/>
        <w:topLinePunct w:val="0"/>
        <w:autoSpaceDE/>
        <w:autoSpaceDN w:val="0"/>
        <w:bidi w:val="0"/>
        <w:adjustRightInd/>
        <w:snapToGrid/>
        <w:spacing w:line="600" w:lineRule="exact"/>
        <w:ind w:firstLine="640" w:firstLineChars="200"/>
        <w:jc w:val="both"/>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规格：小号800×500×880mm；</w:t>
      </w:r>
    </w:p>
    <w:p>
      <w:pPr>
        <w:keepNext w:val="0"/>
        <w:keepLines w:val="0"/>
        <w:pageBreakBefore w:val="0"/>
        <w:widowControl w:val="0"/>
        <w:kinsoku/>
        <w:wordWrap/>
        <w:overflowPunct/>
        <w:topLinePunct w:val="0"/>
        <w:autoSpaceDE/>
        <w:autoSpaceDN w:val="0"/>
        <w:bidi w:val="0"/>
        <w:adjustRightInd/>
        <w:snapToGrid/>
        <w:spacing w:line="600" w:lineRule="exact"/>
        <w:ind w:left="0" w:firstLine="640" w:firstLineChars="200"/>
        <w:jc w:val="both"/>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hint="eastAsia" w:ascii="仿宋_GB2312" w:hAnsi="仿宋_GB2312" w:eastAsia="仿宋_GB2312" w:cs="仿宋_GB2312"/>
          <w:sz w:val="32"/>
          <w:szCs w:val="32"/>
        </w:rPr>
        <w:t>柜体采用δ1.0mm优质304不锈钢冷轧板（磨砂）折弯后</w:t>
      </w:r>
      <w:r>
        <w:rPr>
          <w:rFonts w:hint="eastAsia" w:ascii="仿宋_GB2312" w:hAnsi="仿宋_GB2312" w:eastAsia="仿宋_GB2312" w:cs="仿宋_GB2312"/>
          <w:color w:val="000000"/>
          <w:sz w:val="32"/>
          <w:szCs w:val="32"/>
        </w:rPr>
        <w:t>整体焊接成型</w:t>
      </w:r>
      <w:r>
        <w:rPr>
          <w:rFonts w:hint="eastAsia" w:ascii="仿宋_GB2312" w:hAnsi="仿宋_GB2312" w:eastAsia="仿宋_GB2312" w:cs="仿宋_GB2312"/>
          <w:sz w:val="32"/>
          <w:szCs w:val="32"/>
        </w:rPr>
        <w:t>，表面光洁，强度好，具有耐酸、耐碱等腐蚀性物质作用。表面经过磨砂处理，能抗指纹</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val="0"/>
        <w:bidi w:val="0"/>
        <w:adjustRightInd/>
        <w:snapToGrid/>
        <w:spacing w:line="600" w:lineRule="exact"/>
        <w:ind w:left="0" w:firstLine="640" w:firstLineChars="200"/>
        <w:jc w:val="both"/>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3.上盖双门为翻盖门带拉手，下柜双开门带锁；柜体两头均配不锈钢扶手；</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4.配置耐磨加重万向轮和定向轮各两个；</w:t>
      </w:r>
    </w:p>
    <w:p>
      <w:pPr>
        <w:keepNext w:val="0"/>
        <w:keepLines w:val="0"/>
        <w:pageBreakBefore w:val="0"/>
        <w:widowControl w:val="0"/>
        <w:kinsoku/>
        <w:wordWrap/>
        <w:overflowPunct/>
        <w:topLinePunct w:val="0"/>
        <w:autoSpaceDE/>
        <w:autoSpaceDN w:val="0"/>
        <w:bidi w:val="0"/>
        <w:adjustRightInd/>
        <w:snapToGrid/>
        <w:spacing w:line="600" w:lineRule="exact"/>
        <w:ind w:left="0" w:firstLine="640" w:firstLineChars="200"/>
        <w:jc w:val="both"/>
        <w:textAlignment w:val="center"/>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5.推车内不得沾有腐蚀性物质，注意保持推车内外清洁，推车应储存在无腐蚀性气体及通风良好的清洁室内。</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3009900" cy="2019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009900" cy="2019300"/>
                    </a:xfrm>
                    <a:prstGeom prst="rect">
                      <a:avLst/>
                    </a:prstGeom>
                    <a:noFill/>
                    <a:ln>
                      <a:noFill/>
                    </a:ln>
                  </pic:spPr>
                </pic:pic>
              </a:graphicData>
            </a:graphic>
          </wp:inline>
        </w:drawing>
      </w:r>
    </w:p>
    <w:p>
      <w:pPr>
        <w:pageBreakBefore w:val="0"/>
        <w:kinsoku/>
        <w:wordWrap/>
        <w:overflowPunct/>
        <w:topLinePunct w:val="0"/>
        <w:autoSpaceDE/>
        <w:bidi w:val="0"/>
        <w:snapToGrid/>
        <w:spacing w:line="600" w:lineRule="exact"/>
        <w:jc w:val="left"/>
        <w:rPr>
          <w:rFonts w:hint="eastAsia" w:ascii="仿宋_GB2312" w:hAnsi="仿宋_GB2312" w:eastAsia="仿宋_GB2312" w:cs="仿宋_GB2312"/>
          <w:sz w:val="32"/>
          <w:szCs w:val="32"/>
        </w:rPr>
      </w:pPr>
    </w:p>
    <w:p>
      <w:pPr>
        <w:pageBreakBefore w:val="0"/>
        <w:kinsoku/>
        <w:wordWrap/>
        <w:overflowPunct/>
        <w:topLinePunct w:val="0"/>
        <w:autoSpaceDE/>
        <w:bidi w:val="0"/>
        <w:snapToGrid/>
        <w:spacing w:line="600" w:lineRule="exact"/>
        <w:jc w:val="left"/>
        <w:rPr>
          <w:rFonts w:hint="eastAsia" w:ascii="仿宋_GB2312" w:hAnsi="仿宋_GB2312" w:eastAsia="仿宋_GB2312" w:cs="仿宋_GB2312"/>
          <w:sz w:val="32"/>
          <w:szCs w:val="32"/>
        </w:rPr>
      </w:pPr>
    </w:p>
    <w:p>
      <w:pPr>
        <w:pageBreakBefore w:val="0"/>
        <w:kinsoku/>
        <w:wordWrap/>
        <w:overflowPunct/>
        <w:topLinePunct w:val="0"/>
        <w:autoSpaceDE/>
        <w:bidi w:val="0"/>
        <w:snapToGrid/>
        <w:spacing w:line="600" w:lineRule="exact"/>
        <w:jc w:val="center"/>
        <w:rPr>
          <w:rFonts w:hint="eastAsia" w:ascii="方正小标宋_GBK" w:hAnsi="方正小标宋_GBK" w:eastAsia="方正小标宋_GBK" w:cs="方正小标宋_GBK"/>
          <w:b w:val="0"/>
          <w:bCs w:val="0"/>
          <w:kern w:val="0"/>
          <w:sz w:val="32"/>
          <w:szCs w:val="32"/>
        </w:rPr>
      </w:pPr>
      <w:r>
        <w:rPr>
          <w:rFonts w:hint="eastAsia" w:ascii="方正小标宋_GBK" w:hAnsi="方正小标宋_GBK" w:eastAsia="方正小标宋_GBK" w:cs="方正小标宋_GBK"/>
          <w:b w:val="0"/>
          <w:bCs w:val="0"/>
          <w:kern w:val="0"/>
          <w:sz w:val="32"/>
          <w:szCs w:val="32"/>
        </w:rPr>
        <w:t>不锈钢陪护椅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规格：1850mm*620mm*400mm;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护手主框架采用优质Φ38*1.2不锈钢圆管经专用设备弯制而成，后配2只3寸高级人造橡胶静音脚轮，外罩包ABS防缠绕，坚固耐用，外表美观；脚轮配置刹车，可在任意状态下使用刹车功能；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椅面及主要结构采用优Φ25*1.2不锈钢圆管经专用设备弯制而成，外型美观，结构合理；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 椅面支架连接件采用钢件。采用活动转套，转动无噪音，且外型美观，坐架底部带4只2寸高耐磨橡胶脚轮，转动灵活；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 椅面垫子和护手套表面采用高级人造皮革，内面采用泡沫，底面采用优质木板，木板下方设有三支加强抬筋能负重100vkg以上，增加整体强度。枕头采用高泡，有效提高人体舒适度；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 陪伴椅收起时当椅子使用，展开时可作床使用。将活动座椅向上抬起，然后向外拉出座椅后即可当床使用，反之亦然。</w:t>
      </w:r>
    </w:p>
    <w:p>
      <w:pPr>
        <w:keepNext w:val="0"/>
        <w:keepLines w:val="0"/>
        <w:pageBreakBefore w:val="0"/>
        <w:widowControl/>
        <w:shd w:val="clear" w:color="auto" w:fill="FFFFFF"/>
        <w:kinsoku/>
        <w:wordWrap/>
        <w:overflowPunct/>
        <w:topLinePunct w:val="0"/>
        <w:autoSpaceDE/>
        <w:autoSpaceDN/>
        <w:bidi w:val="0"/>
        <w:adjustRightInd/>
        <w:snapToGrid/>
        <w:spacing w:line="240" w:lineRule="atLeast"/>
        <w:ind w:firstLine="42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drawing>
          <wp:inline distT="0" distB="0" distL="114300" distR="114300">
            <wp:extent cx="1866900" cy="20116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866900" cy="2011680"/>
                    </a:xfrm>
                    <a:prstGeom prst="rect">
                      <a:avLst/>
                    </a:prstGeom>
                    <a:noFill/>
                    <a:ln>
                      <a:noFill/>
                    </a:ln>
                  </pic:spPr>
                </pic:pic>
              </a:graphicData>
            </a:graphic>
          </wp:inline>
        </w:drawing>
      </w:r>
    </w:p>
    <w:p>
      <w:pPr>
        <w:pageBreakBefore w:val="0"/>
        <w:widowControl/>
        <w:shd w:val="clear" w:color="auto" w:fill="FFFFFF"/>
        <w:kinsoku/>
        <w:wordWrap/>
        <w:overflowPunct/>
        <w:topLinePunct w:val="0"/>
        <w:autoSpaceDE/>
        <w:bidi w:val="0"/>
        <w:snapToGrid/>
        <w:spacing w:line="600" w:lineRule="exact"/>
        <w:ind w:firstLine="420"/>
        <w:jc w:val="left"/>
        <w:rPr>
          <w:rFonts w:hint="eastAsia" w:ascii="仿宋_GB2312" w:hAnsi="仿宋_GB2312" w:eastAsia="仿宋_GB2312" w:cs="仿宋_GB2312"/>
          <w:color w:val="auto"/>
          <w:kern w:val="0"/>
          <w:sz w:val="32"/>
          <w:szCs w:val="32"/>
        </w:rPr>
      </w:pPr>
    </w:p>
    <w:p>
      <w:pPr>
        <w:pStyle w:val="13"/>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黑体" w:hAnsi="黑体" w:eastAsia="黑体" w:cs="黑体"/>
          <w:b/>
          <w:bCs/>
          <w:color w:val="auto"/>
          <w:sz w:val="32"/>
          <w:szCs w:val="32"/>
          <w:lang w:val="zh-CN"/>
        </w:rPr>
      </w:pPr>
      <w:r>
        <w:rPr>
          <w:rFonts w:hint="eastAsia" w:ascii="黑体" w:hAnsi="黑体" w:eastAsia="黑体" w:cs="黑体"/>
          <w:b/>
          <w:bCs/>
          <w:color w:val="auto"/>
          <w:sz w:val="32"/>
          <w:szCs w:val="32"/>
          <w:lang w:val="zh-CN"/>
        </w:rPr>
        <w:t>三、预算清单</w:t>
      </w:r>
    </w:p>
    <w:p>
      <w:pPr>
        <w:pStyle w:val="13"/>
        <w:pageBreakBefore w:val="0"/>
        <w:kinsoku/>
        <w:wordWrap/>
        <w:overflowPunct/>
        <w:topLinePunct w:val="0"/>
        <w:autoSpaceDE/>
        <w:bidi w:val="0"/>
        <w:adjustRightInd w:val="0"/>
        <w:snapToGrid/>
        <w:spacing w:line="600" w:lineRule="exact"/>
        <w:rPr>
          <w:rFonts w:hint="eastAsia" w:ascii="仿宋_GB2312" w:hAnsi="仿宋_GB2312" w:eastAsia="仿宋_GB2312" w:cs="仿宋_GB2312"/>
          <w:b/>
          <w:bCs/>
          <w:color w:val="auto"/>
          <w:sz w:val="32"/>
          <w:szCs w:val="32"/>
          <w:lang w:val="zh-CN"/>
        </w:rPr>
      </w:pPr>
    </w:p>
    <w:tbl>
      <w:tblPr>
        <w:tblStyle w:val="5"/>
        <w:tblW w:w="8256" w:type="dxa"/>
        <w:jc w:val="center"/>
        <w:tblLayout w:type="fixed"/>
        <w:tblCellMar>
          <w:top w:w="15" w:type="dxa"/>
          <w:left w:w="15" w:type="dxa"/>
          <w:bottom w:w="15" w:type="dxa"/>
          <w:right w:w="15" w:type="dxa"/>
        </w:tblCellMar>
      </w:tblPr>
      <w:tblGrid>
        <w:gridCol w:w="621"/>
        <w:gridCol w:w="2850"/>
        <w:gridCol w:w="810"/>
        <w:gridCol w:w="1050"/>
        <w:gridCol w:w="1530"/>
        <w:gridCol w:w="1395"/>
      </w:tblGrid>
      <w:tr>
        <w:tblPrEx>
          <w:tblCellMar>
            <w:top w:w="15" w:type="dxa"/>
            <w:left w:w="15" w:type="dxa"/>
            <w:bottom w:w="15" w:type="dxa"/>
            <w:right w:w="15" w:type="dxa"/>
          </w:tblCellMar>
        </w:tblPrEx>
        <w:trPr>
          <w:trHeight w:val="735"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序号</w:t>
            </w:r>
          </w:p>
        </w:tc>
        <w:tc>
          <w:tcPr>
            <w:tcW w:w="2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品名</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数量</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rPr>
              <w:t>单位</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单价</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lang w:eastAsia="zh-CN"/>
              </w:rPr>
              <w:t>（元）</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rPr>
              <w:t>合价</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kern w:val="0"/>
                <w:sz w:val="32"/>
                <w:szCs w:val="32"/>
                <w:lang w:eastAsia="zh-CN"/>
              </w:rPr>
              <w:t>（万元）</w:t>
            </w:r>
          </w:p>
        </w:tc>
      </w:tr>
      <w:tr>
        <w:tblPrEx>
          <w:tblCellMar>
            <w:top w:w="15" w:type="dxa"/>
            <w:left w:w="15" w:type="dxa"/>
            <w:bottom w:w="15" w:type="dxa"/>
            <w:right w:w="15" w:type="dxa"/>
          </w:tblCellMar>
        </w:tblPrEx>
        <w:trPr>
          <w:trHeight w:val="960"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1</w:t>
            </w:r>
          </w:p>
        </w:tc>
        <w:tc>
          <w:tcPr>
            <w:tcW w:w="2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ABS医疗推车</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2600.00</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1.56</w:t>
            </w:r>
          </w:p>
        </w:tc>
      </w:tr>
      <w:tr>
        <w:tblPrEx>
          <w:tblCellMar>
            <w:top w:w="15" w:type="dxa"/>
            <w:left w:w="15" w:type="dxa"/>
            <w:bottom w:w="15" w:type="dxa"/>
            <w:right w:w="15" w:type="dxa"/>
          </w:tblCellMar>
        </w:tblPrEx>
        <w:trPr>
          <w:trHeight w:val="960"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2</w:t>
            </w:r>
          </w:p>
        </w:tc>
        <w:tc>
          <w:tcPr>
            <w:tcW w:w="2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不锈钢无菌推车</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台</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4500.00</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1.35</w:t>
            </w:r>
          </w:p>
        </w:tc>
      </w:tr>
      <w:tr>
        <w:tblPrEx>
          <w:tblCellMar>
            <w:top w:w="15" w:type="dxa"/>
            <w:left w:w="15" w:type="dxa"/>
            <w:bottom w:w="15" w:type="dxa"/>
            <w:right w:w="15" w:type="dxa"/>
          </w:tblCellMar>
        </w:tblPrEx>
        <w:trPr>
          <w:trHeight w:val="960" w:hRule="atLeast"/>
          <w:jc w:val="center"/>
        </w:trPr>
        <w:tc>
          <w:tcPr>
            <w:tcW w:w="62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3</w:t>
            </w:r>
          </w:p>
        </w:tc>
        <w:tc>
          <w:tcPr>
            <w:tcW w:w="28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不锈钢陪护椅</w:t>
            </w:r>
          </w:p>
        </w:tc>
        <w:tc>
          <w:tcPr>
            <w:tcW w:w="81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100</w:t>
            </w:r>
          </w:p>
        </w:tc>
        <w:tc>
          <w:tcPr>
            <w:tcW w:w="10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张</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1355.00</w:t>
            </w:r>
          </w:p>
        </w:tc>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13.55</w:t>
            </w:r>
          </w:p>
        </w:tc>
      </w:tr>
      <w:tr>
        <w:tblPrEx>
          <w:tblCellMar>
            <w:top w:w="15" w:type="dxa"/>
            <w:left w:w="15" w:type="dxa"/>
            <w:bottom w:w="15" w:type="dxa"/>
            <w:right w:w="15" w:type="dxa"/>
          </w:tblCellMar>
        </w:tblPrEx>
        <w:trPr>
          <w:wAfter w:w="0" w:type="auto"/>
          <w:trHeight w:val="675" w:hRule="atLeast"/>
          <w:jc w:val="center"/>
        </w:trPr>
        <w:tc>
          <w:tcPr>
            <w:tcW w:w="347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合计</w:t>
            </w:r>
          </w:p>
        </w:tc>
        <w:tc>
          <w:tcPr>
            <w:tcW w:w="478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16.46</w:t>
            </w:r>
          </w:p>
        </w:tc>
      </w:tr>
    </w:tbl>
    <w:p>
      <w:pPr>
        <w:pStyle w:val="13"/>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黑体" w:hAnsi="黑体" w:eastAsia="黑体" w:cs="黑体"/>
          <w:b/>
          <w:bCs/>
          <w:color w:val="auto"/>
          <w:sz w:val="32"/>
          <w:szCs w:val="32"/>
          <w:lang w:val="zh-CN"/>
        </w:rPr>
      </w:pPr>
      <w:r>
        <w:rPr>
          <w:rFonts w:hint="eastAsia" w:ascii="黑体" w:hAnsi="黑体" w:eastAsia="黑体" w:cs="黑体"/>
          <w:b/>
          <w:bCs/>
          <w:color w:val="auto"/>
          <w:sz w:val="32"/>
          <w:szCs w:val="32"/>
        </w:rPr>
        <w:t>四</w:t>
      </w:r>
      <w:r>
        <w:rPr>
          <w:rFonts w:hint="eastAsia" w:ascii="黑体" w:hAnsi="黑体" w:eastAsia="黑体" w:cs="黑体"/>
          <w:b/>
          <w:bCs/>
          <w:color w:val="auto"/>
          <w:sz w:val="32"/>
          <w:szCs w:val="32"/>
          <w:lang w:val="zh-CN"/>
        </w:rPr>
        <w:t>、商务要求</w:t>
      </w:r>
    </w:p>
    <w:p>
      <w:pPr>
        <w:pStyle w:val="13"/>
        <w:pageBreakBefore w:val="0"/>
        <w:kinsoku/>
        <w:wordWrap/>
        <w:overflowPunct/>
        <w:topLinePunct w:val="0"/>
        <w:autoSpaceDE/>
        <w:bidi w:val="0"/>
        <w:adjustRightInd w:val="0"/>
        <w:snapToGrid/>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1.</w:t>
      </w:r>
      <w:r>
        <w:rPr>
          <w:rFonts w:hint="eastAsia" w:ascii="仿宋_GB2312" w:hAnsi="仿宋_GB2312" w:eastAsia="仿宋_GB2312" w:cs="仿宋_GB2312"/>
          <w:color w:val="auto"/>
          <w:sz w:val="32"/>
          <w:szCs w:val="32"/>
          <w:lang w:val="zh-CN"/>
        </w:rPr>
        <w:t>交货时间/工期要求：</w:t>
      </w:r>
      <w:r>
        <w:rPr>
          <w:rFonts w:hint="eastAsia" w:ascii="仿宋_GB2312" w:hAnsi="仿宋_GB2312" w:eastAsia="仿宋_GB2312" w:cs="仿宋_GB2312"/>
          <w:color w:val="auto"/>
          <w:sz w:val="32"/>
          <w:szCs w:val="32"/>
        </w:rPr>
        <w:t>合同签订生效之日起2天内完成所有货物的供货、安装、调试并验收合格交付使用，如因采购人原因时间顺延。</w:t>
      </w:r>
    </w:p>
    <w:p>
      <w:pPr>
        <w:pStyle w:val="13"/>
        <w:pageBreakBefore w:val="0"/>
        <w:kinsoku/>
        <w:wordWrap/>
        <w:overflowPunct/>
        <w:topLinePunct w:val="0"/>
        <w:autoSpaceDE/>
        <w:bidi w:val="0"/>
        <w:adjustRightInd w:val="0"/>
        <w:snapToGrid/>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w:t>
      </w:r>
      <w:r>
        <w:rPr>
          <w:rFonts w:hint="eastAsia" w:ascii="仿宋_GB2312" w:hAnsi="仿宋_GB2312" w:eastAsia="仿宋_GB2312" w:cs="仿宋_GB2312"/>
          <w:color w:val="auto"/>
          <w:sz w:val="32"/>
          <w:szCs w:val="32"/>
          <w:lang w:val="zh-CN"/>
        </w:rPr>
        <w:t>付款方式</w:t>
      </w:r>
      <w:r>
        <w:rPr>
          <w:rFonts w:hint="eastAsia" w:ascii="仿宋_GB2312" w:hAnsi="仿宋_GB2312" w:eastAsia="仿宋_GB2312" w:cs="仿宋_GB2312"/>
          <w:color w:val="auto"/>
          <w:sz w:val="32"/>
          <w:szCs w:val="32"/>
        </w:rPr>
        <w:t>:全部货物送到指定地点、安装调试完毕并全部验收合格后，支付合同全部货款，其它以合同约定为准。</w:t>
      </w:r>
    </w:p>
    <w:p>
      <w:pPr>
        <w:pStyle w:val="13"/>
        <w:pageBreakBefore w:val="0"/>
        <w:kinsoku/>
        <w:wordWrap/>
        <w:overflowPunct/>
        <w:topLinePunct w:val="0"/>
        <w:autoSpaceDE/>
        <w:bidi w:val="0"/>
        <w:adjustRightInd w:val="0"/>
        <w:snapToGrid/>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w:t>
      </w:r>
      <w:r>
        <w:rPr>
          <w:rFonts w:hint="eastAsia" w:ascii="仿宋_GB2312" w:hAnsi="仿宋_GB2312" w:eastAsia="仿宋_GB2312" w:cs="仿宋_GB2312"/>
          <w:color w:val="auto"/>
          <w:sz w:val="32"/>
          <w:szCs w:val="32"/>
          <w:lang w:val="zh-CN"/>
        </w:rPr>
        <w:t>交货地点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采购人指定地点</w:t>
      </w:r>
      <w:r>
        <w:rPr>
          <w:rFonts w:hint="eastAsia" w:ascii="仿宋_GB2312" w:hAnsi="仿宋_GB2312" w:eastAsia="仿宋_GB2312" w:cs="仿宋_GB2312"/>
          <w:color w:val="auto"/>
          <w:sz w:val="32"/>
          <w:szCs w:val="32"/>
        </w:rPr>
        <w:t>.</w:t>
      </w:r>
    </w:p>
    <w:p>
      <w:pPr>
        <w:pStyle w:val="13"/>
        <w:pageBreakBefore w:val="0"/>
        <w:kinsoku/>
        <w:wordWrap/>
        <w:overflowPunct/>
        <w:topLinePunct w:val="0"/>
        <w:autoSpaceDE/>
        <w:bidi w:val="0"/>
        <w:adjustRightInd w:val="0"/>
        <w:snapToGrid/>
        <w:spacing w:line="600" w:lineRule="exac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 xml:space="preserve"> </w:t>
      </w:r>
      <w:r>
        <w:rPr>
          <w:rFonts w:hint="eastAsia" w:ascii="黑体" w:hAnsi="黑体" w:eastAsia="黑体" w:cs="黑体"/>
          <w:b/>
          <w:bCs/>
          <w:color w:val="auto"/>
          <w:sz w:val="32"/>
          <w:szCs w:val="32"/>
        </w:rPr>
        <w:t>五、售后服务</w:t>
      </w:r>
    </w:p>
    <w:p>
      <w:pPr>
        <w:pStyle w:val="13"/>
        <w:pageBreakBefore w:val="0"/>
        <w:kinsoku/>
        <w:wordWrap/>
        <w:overflowPunct/>
        <w:topLinePunct w:val="0"/>
        <w:autoSpaceDE/>
        <w:bidi w:val="0"/>
        <w:snapToGrid/>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产品质保期一年。保期内提供免费维修，更换零配件，人为因素破坏除外。质保期过后，提供成本零配件供应及优惠维修服务。</w:t>
      </w:r>
    </w:p>
    <w:p>
      <w:pPr>
        <w:pStyle w:val="13"/>
        <w:keepNext w:val="0"/>
        <w:keepLines w:val="0"/>
        <w:pageBreakBefore w:val="0"/>
        <w:widowControl w:val="0"/>
        <w:kinsoku/>
        <w:wordWrap/>
        <w:overflowPunct/>
        <w:topLinePunct w:val="0"/>
        <w:autoSpaceDE/>
        <w:autoSpaceDN/>
        <w:bidi w:val="0"/>
        <w:adjustRightInd w:val="0"/>
        <w:snapToGrid/>
        <w:spacing w:line="600" w:lineRule="exact"/>
        <w:ind w:firstLine="643" w:firstLineChars="200"/>
        <w:textAlignment w:val="auto"/>
        <w:rPr>
          <w:rFonts w:hint="eastAsia" w:ascii="黑体" w:hAnsi="黑体" w:eastAsia="黑体" w:cs="黑体"/>
          <w:b/>
          <w:bCs/>
          <w:color w:val="auto"/>
          <w:sz w:val="32"/>
          <w:szCs w:val="32"/>
          <w:lang w:val="zh-CN"/>
        </w:rPr>
      </w:pPr>
      <w:r>
        <w:rPr>
          <w:rFonts w:hint="eastAsia" w:ascii="黑体" w:hAnsi="黑体" w:eastAsia="黑体" w:cs="黑体"/>
          <w:b/>
          <w:bCs/>
          <w:color w:val="auto"/>
          <w:sz w:val="32"/>
          <w:szCs w:val="32"/>
          <w:lang w:val="zh-CN"/>
        </w:rPr>
        <w:t>六、特别说明</w:t>
      </w:r>
    </w:p>
    <w:p>
      <w:pPr>
        <w:pStyle w:val="13"/>
        <w:pageBreakBefore w:val="0"/>
        <w:kinsoku/>
        <w:wordWrap/>
        <w:overflowPunct/>
        <w:topLinePunct w:val="0"/>
        <w:autoSpaceDE/>
        <w:bidi w:val="0"/>
        <w:adjustRightInd w:val="0"/>
        <w:snapToGrid/>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本次</w:t>
      </w:r>
      <w:r>
        <w:rPr>
          <w:rFonts w:hint="eastAsia" w:ascii="仿宋_GB2312" w:hAnsi="仿宋_GB2312" w:eastAsia="仿宋_GB2312" w:cs="仿宋_GB2312"/>
          <w:color w:val="auto"/>
          <w:sz w:val="32"/>
          <w:szCs w:val="32"/>
          <w:lang w:val="zh-CN"/>
        </w:rPr>
        <w:t>采购合同价:不得高于近</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rPr>
        <w:t>年左右国内二级及二级以上医院采购同类型同质量的相同产品的政府公开招标的中标价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zh-CN"/>
        </w:rPr>
        <w:t>供货单位须提供</w:t>
      </w:r>
      <w:r>
        <w:rPr>
          <w:rFonts w:hint="eastAsia" w:ascii="仿宋_GB2312" w:hAnsi="仿宋_GB2312" w:eastAsia="仿宋_GB2312" w:cs="仿宋_GB2312"/>
          <w:color w:val="auto"/>
          <w:sz w:val="32"/>
          <w:szCs w:val="32"/>
        </w:rPr>
        <w:t>: 3家或3家以上企业有关</w:t>
      </w:r>
      <w:r>
        <w:rPr>
          <w:rFonts w:hint="eastAsia" w:ascii="仿宋_GB2312" w:hAnsi="仿宋_GB2312" w:eastAsia="仿宋_GB2312" w:cs="仿宋_GB2312"/>
          <w:color w:val="auto"/>
          <w:sz w:val="32"/>
          <w:szCs w:val="32"/>
          <w:lang w:val="zh-CN"/>
        </w:rPr>
        <w:t>政府公开招标采购中标文件或合同复印件,</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zh-CN"/>
        </w:rPr>
        <w:t>以中标价最低的1家为基准价</w:t>
      </w:r>
      <w:r>
        <w:rPr>
          <w:rFonts w:hint="eastAsia" w:ascii="仿宋_GB2312" w:hAnsi="仿宋_GB2312" w:eastAsia="仿宋_GB2312" w:cs="仿宋_GB2312"/>
          <w:color w:val="auto"/>
          <w:sz w:val="32"/>
          <w:szCs w:val="32"/>
        </w:rPr>
        <w:t>)。</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960CF5"/>
    <w:rsid w:val="000E0C70"/>
    <w:rsid w:val="00207B1E"/>
    <w:rsid w:val="0025084B"/>
    <w:rsid w:val="004134FD"/>
    <w:rsid w:val="00451D12"/>
    <w:rsid w:val="0049759A"/>
    <w:rsid w:val="00514A0A"/>
    <w:rsid w:val="00515BED"/>
    <w:rsid w:val="007771B3"/>
    <w:rsid w:val="007C1D00"/>
    <w:rsid w:val="007F5300"/>
    <w:rsid w:val="00801C55"/>
    <w:rsid w:val="008123B4"/>
    <w:rsid w:val="00876BCB"/>
    <w:rsid w:val="008B4C62"/>
    <w:rsid w:val="00A90260"/>
    <w:rsid w:val="00B41488"/>
    <w:rsid w:val="00B75D6A"/>
    <w:rsid w:val="00D04E14"/>
    <w:rsid w:val="00D975B5"/>
    <w:rsid w:val="00DC0DF3"/>
    <w:rsid w:val="00DE4CC8"/>
    <w:rsid w:val="00E242E8"/>
    <w:rsid w:val="07507597"/>
    <w:rsid w:val="11A12506"/>
    <w:rsid w:val="13097777"/>
    <w:rsid w:val="16E148A7"/>
    <w:rsid w:val="23594449"/>
    <w:rsid w:val="25D54DA7"/>
    <w:rsid w:val="34B46C8E"/>
    <w:rsid w:val="37960CF5"/>
    <w:rsid w:val="3AAF1693"/>
    <w:rsid w:val="48E137DC"/>
    <w:rsid w:val="4B2E02A7"/>
    <w:rsid w:val="4B795A1F"/>
    <w:rsid w:val="4D067738"/>
    <w:rsid w:val="51F36E4C"/>
    <w:rsid w:val="5B9E410D"/>
    <w:rsid w:val="5DA52B45"/>
    <w:rsid w:val="6C172CEE"/>
    <w:rsid w:val="70184E35"/>
    <w:rsid w:val="70F6316D"/>
    <w:rsid w:val="75364497"/>
    <w:rsid w:val="76F64478"/>
    <w:rsid w:val="7F011BB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99"/>
    <w:pPr>
      <w:keepNext/>
      <w:keepLines/>
      <w:spacing w:before="340" w:after="330" w:line="576" w:lineRule="auto"/>
      <w:outlineLvl w:val="0"/>
    </w:pPr>
    <w:rPr>
      <w:rFonts w:ascii="Times New Roman" w:hAnsi="Times New Roman"/>
      <w:b/>
      <w:kern w:val="44"/>
      <w:sz w:val="32"/>
      <w:szCs w:val="20"/>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Autospacing="1" w:afterAutospacing="1"/>
      <w:jc w:val="left"/>
    </w:pPr>
    <w:rPr>
      <w:kern w:val="0"/>
      <w:sz w:val="24"/>
    </w:rPr>
  </w:style>
  <w:style w:type="character" w:styleId="7">
    <w:name w:val="Strong"/>
    <w:basedOn w:val="6"/>
    <w:qFormat/>
    <w:uiPriority w:val="99"/>
    <w:rPr>
      <w:rFonts w:cs="Times New Roman"/>
      <w:b/>
    </w:rPr>
  </w:style>
  <w:style w:type="character" w:styleId="8">
    <w:name w:val="Hyperlink"/>
    <w:basedOn w:val="6"/>
    <w:qFormat/>
    <w:uiPriority w:val="99"/>
    <w:rPr>
      <w:rFonts w:cs="Times New Roman"/>
      <w:color w:val="0000FF"/>
      <w:u w:val="single"/>
    </w:rPr>
  </w:style>
  <w:style w:type="character" w:customStyle="1" w:styleId="9">
    <w:name w:val="Heading 1 Char"/>
    <w:basedOn w:val="6"/>
    <w:link w:val="2"/>
    <w:qFormat/>
    <w:locked/>
    <w:uiPriority w:val="99"/>
    <w:rPr>
      <w:rFonts w:ascii="Calibri" w:hAnsi="Calibri" w:cs="Times New Roman"/>
      <w:b/>
      <w:bCs/>
      <w:kern w:val="44"/>
      <w:sz w:val="44"/>
      <w:szCs w:val="44"/>
    </w:rPr>
  </w:style>
  <w:style w:type="character" w:customStyle="1" w:styleId="10">
    <w:name w:val="Header Char"/>
    <w:basedOn w:val="6"/>
    <w:link w:val="3"/>
    <w:semiHidden/>
    <w:qFormat/>
    <w:locked/>
    <w:uiPriority w:val="99"/>
    <w:rPr>
      <w:rFonts w:ascii="Calibri" w:hAnsi="Calibri" w:cs="Times New Roman"/>
      <w:sz w:val="18"/>
      <w:szCs w:val="18"/>
    </w:rPr>
  </w:style>
  <w:style w:type="paragraph" w:customStyle="1" w:styleId="11">
    <w:name w:val="_Style 1"/>
    <w:basedOn w:val="1"/>
    <w:qFormat/>
    <w:uiPriority w:val="99"/>
    <w:pPr>
      <w:ind w:firstLine="420" w:firstLineChars="200"/>
    </w:pPr>
  </w:style>
  <w:style w:type="paragraph" w:customStyle="1" w:styleId="12">
    <w:name w:val="标题 2_0"/>
    <w:basedOn w:val="13"/>
    <w:next w:val="13"/>
    <w:qFormat/>
    <w:uiPriority w:val="99"/>
    <w:pPr>
      <w:keepNext/>
      <w:keepLines/>
      <w:spacing w:before="260" w:after="260" w:line="415" w:lineRule="auto"/>
      <w:outlineLvl w:val="1"/>
    </w:pPr>
    <w:rPr>
      <w:rFonts w:ascii="Arial" w:hAnsi="Arial" w:eastAsia="黑体"/>
      <w:b/>
      <w:bCs/>
      <w:kern w:val="0"/>
      <w:sz w:val="32"/>
      <w:szCs w:val="32"/>
    </w:rPr>
  </w:style>
  <w:style w:type="paragraph" w:customStyle="1" w:styleId="13">
    <w:name w:val="正文_0"/>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font11"/>
    <w:basedOn w:val="6"/>
    <w:qFormat/>
    <w:uiPriority w:val="99"/>
    <w:rPr>
      <w:rFonts w:ascii="新宋体" w:hAnsi="新宋体" w:eastAsia="新宋体" w:cs="新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Pages>
  <Words>491</Words>
  <Characters>2805</Characters>
  <Lines>0</Lines>
  <Paragraphs>0</Paragraphs>
  <TotalTime>12</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2020-02-09T02:22:00Z</dcterms:created>
  <dc:creator>Administrator</dc:creator>
  <cp:lastModifiedBy>Administrator</cp:lastModifiedBy>
  <dcterms:modified xsi:type="dcterms:W3CDTF">2020-02-10T10:36:57Z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