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instrText xml:space="preserve"> HYPERLINK "http://www.ncysfybj.com/uploads/allimg/file/20200731/20200731173358_39597.doc" \t "http://www.ncysfybj.com/xinwendongtai/caigouxinxi/20200731/_blank"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u w:val="none"/>
          <w:shd w:val="clear" w:fill="FFFFFF"/>
        </w:rPr>
        <w:t>新院区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手推式洗地机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u w:val="none"/>
          <w:shd w:val="clear" w:fill="FFFFFF"/>
        </w:rPr>
        <w:t>技术参数、采购数量及预算控制价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  <w:t>(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采购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数量：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台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 xml:space="preserve">, 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  <w:t>预算控制价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lang w:val="en-US" w:eastAsia="zh-CN"/>
        </w:rPr>
        <w:t>12000.00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  <w:t>元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  <w:lang w:val="en-US" w:eastAsia="zh-CN"/>
        </w:rPr>
        <w:t>/台</w:t>
      </w:r>
      <w:r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  <w:t xml:space="preserve">)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适合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新院区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500-2000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场所使用。并适合于多种环境地面，例如：环氧树脂地面、瓷砖地面、油漆地面、混泥土等等，高质量完成了医院等地面清洗，清洗的同时完成污水的回收。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1、集洗、吸于一体，无需再次拖干地面；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2、电动作业，无噪声、无废气排放；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3、机械化作业效率高、效果好，机器所到之处清洗干净；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4、清洁效果好，洗刷吸干过的地面，无残留水迹。脏水、泥土、砂粒统统吸入污水箱，特别对油污地面，机器清洗后，洁净如新。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二、性能特点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配有清水水量显示位，可直接观察水位变化。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机器配有钥匙开关、便于管理。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广口注水口，注水可快捷便利。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可视化操作面板，ECO节能模式。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污水箱侧翻式设计，轻松，便捷。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吸污管外置，人性化设计，清洗便捷。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污水箱敞口设计，清洗便捷。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内置充电器，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方便随时充电，保护电瓶及操作员安全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机器一键按钮开关自动上、卸刷子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真空电机内置设计，采用优化消音方式 ，安静舒适。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铝制吸水扒及吸水扒支架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防锈，经久耐用；吸扒升降采用弹簧下压式。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电磁阀放水，而不采用机械式放水，这样更方便调节水量大小。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等地面使用。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三、技术参数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额定电压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DC24V/Gear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工作效率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2400m</w:t>
            </w:r>
            <w:r>
              <w:rPr>
                <w:rFonts w:hint="eastAsia" w:ascii="仿宋" w:hAnsi="仿宋" w:eastAsia="仿宋" w:cs="仿宋_GB2312"/>
                <w:vertAlign w:val="superscript"/>
              </w:rPr>
              <w:t>2</w:t>
            </w:r>
            <w:r>
              <w:rPr>
                <w:rFonts w:hint="eastAsia" w:ascii="仿宋" w:hAnsi="仿宋" w:eastAsia="仿宋" w:cs="仿宋_GB2312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工作宽度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510mm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吸水扒宽度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850mm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洗地刷直径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510mm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洗地刷速度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160r/min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洗地刷马达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洗地刷压力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30kg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9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洗地刷数量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吸水马达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吸水力度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135mbar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蓄电池组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2×DC12V 100Ah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噪音水平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≦</w:t>
            </w:r>
            <w:r>
              <w:rPr>
                <w:rFonts w:hint="eastAsia" w:ascii="仿宋" w:hAnsi="仿宋" w:eastAsia="仿宋" w:cs="仿宋_GB2312"/>
              </w:rPr>
              <w:t>62dB(A)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充电时间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≦</w:t>
            </w:r>
            <w:r>
              <w:rPr>
                <w:rFonts w:hint="eastAsia" w:ascii="仿宋" w:hAnsi="仿宋" w:eastAsia="仿宋" w:cs="仿宋_GB2312"/>
              </w:rPr>
              <w:t>8-10h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连续工作时间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4-5h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清水箱容量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70L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污水箱容量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≧</w:t>
            </w:r>
            <w:r>
              <w:rPr>
                <w:rFonts w:hint="eastAsia" w:ascii="仿宋" w:hAnsi="仿宋" w:eastAsia="仿宋" w:cs="仿宋_GB2312"/>
              </w:rPr>
              <w:t>75L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</w:rPr>
              <w:t>机身尺寸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≦</w:t>
            </w:r>
            <w:r>
              <w:rPr>
                <w:rFonts w:hint="eastAsia" w:ascii="仿宋" w:hAnsi="仿宋" w:eastAsia="仿宋" w:cs="仿宋_GB2312"/>
              </w:rPr>
              <w:t>1280mm×510mm×1080mm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机器重量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ascii="仿宋" w:hAnsi="仿宋" w:eastAsia="仿宋" w:cs="仿宋_GB2312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</w:rPr>
              <w:t>≦</w:t>
            </w:r>
            <w:r>
              <w:rPr>
                <w:rFonts w:hint="eastAsia" w:ascii="仿宋" w:hAnsi="仿宋" w:eastAsia="仿宋" w:cs="仿宋_GB2312"/>
              </w:rPr>
              <w:t>150kg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</w:rPr>
              <w:t>配件</w:t>
            </w:r>
          </w:p>
        </w:tc>
        <w:tc>
          <w:tcPr>
            <w:tcW w:w="3969" w:type="dxa"/>
            <w:vAlign w:val="center"/>
          </w:tcPr>
          <w:p>
            <w:pPr>
              <w:pStyle w:val="7"/>
              <w:spacing w:line="480" w:lineRule="exact"/>
              <w:ind w:firstLine="0" w:firstLineChars="0"/>
              <w:jc w:val="left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针盘1个、洗地刷1个、免维护电池2只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7EFD"/>
    <w:multiLevelType w:val="singleLevel"/>
    <w:tmpl w:val="3AAE7E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2929"/>
    <w:rsid w:val="01222929"/>
    <w:rsid w:val="096900D6"/>
    <w:rsid w:val="16042D2C"/>
    <w:rsid w:val="29BA3200"/>
    <w:rsid w:val="3B826DA9"/>
    <w:rsid w:val="47742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2020-11-11T08:36:00Z</dcterms:created>
  <dc:creator>Administrator</dc:creator>
  <cp:lastModifiedBy>Administrator</cp:lastModifiedBy>
  <dcterms:modified xsi:type="dcterms:W3CDTF">2020-11-11T09:23:15Z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