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市场调研项目明细</w:t>
      </w:r>
    </w:p>
    <w:tbl>
      <w:tblPr>
        <w:tblStyle w:val="4"/>
        <w:tblW w:w="86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221"/>
        <w:gridCol w:w="5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0"/>
                <w:lang w:val="en-US" w:eastAsia="zh-CN" w:bidi="ar"/>
              </w:rPr>
              <w:t>用途、技术性能基本要求等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超声波妇科治疗仪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主要用于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妇科外阴白色病变（外阴上皮内非瘤样病变）、宫颈炎、尖锐湿疣等疾病治疗。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超声波子宫复旧仪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48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用途: 超声波子宫复旧仪主要用于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促进产后子宫复旧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274" w:lineRule="exact"/>
              <w:ind w:left="36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全自动粪便分析仪</w:t>
            </w: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主要用于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全自动粪便分析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478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全自动尿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液分析系统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主要用于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全自动尿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液分析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全自动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道分泌物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主要用于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全自动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道分泌物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全自动加样、温育、检测、分析判读结果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自动微生物分析系统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主要用于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自动微生物分析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二氧化碳培养箱</w:t>
            </w: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病原微生物室用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全自动细菌染色仪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病原微生物室用于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全自动细菌染色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自动化血培养系统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病原微生物室用于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自动化血培养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热球子宫内膜消融系统</w:t>
            </w: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妇科用于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子宫内膜疾病等治疗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全高清腹腔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宫腔镜系统</w:t>
            </w:r>
          </w:p>
        </w:tc>
        <w:tc>
          <w:tcPr>
            <w:tcW w:w="5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开展院内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腹腔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、宫腔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手术用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。含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全高清腹腔镜系统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宫腔电切内窥镜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宫腔检查镜及配件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双极高频超声双输出手术系统（超声刀系统）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报价一览表</w:t>
      </w:r>
    </w:p>
    <w:tbl>
      <w:tblPr>
        <w:tblStyle w:val="4"/>
        <w:tblW w:w="851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704"/>
        <w:gridCol w:w="860"/>
        <w:gridCol w:w="616"/>
        <w:gridCol w:w="807"/>
        <w:gridCol w:w="662"/>
        <w:gridCol w:w="935"/>
        <w:gridCol w:w="2122"/>
        <w:gridCol w:w="12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生产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厂家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配送企业名称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  <w:t>公司名称：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  <w:t>代表签字：联系方式：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附件3</w:t>
      </w:r>
    </w:p>
    <w:tbl>
      <w:tblPr>
        <w:tblStyle w:val="4"/>
        <w:tblpPr w:leftFromText="180" w:rightFromText="180" w:vertAnchor="text" w:horzAnchor="margin" w:tblpXSpec="center" w:tblpY="920"/>
        <w:tblW w:w="100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275"/>
        <w:gridCol w:w="991"/>
        <w:gridCol w:w="708"/>
        <w:gridCol w:w="1558"/>
        <w:gridCol w:w="1417"/>
        <w:gridCol w:w="1983"/>
        <w:gridCol w:w="11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省外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用户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用户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合同价格或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中标价格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使用时间或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中标时间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联系人及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省内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用户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用户情况表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  <w:t>说明：1、表中产品为近三年销售，用户仍在使用的货物；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  <w:t>只填写与本次市场调研产品一致或相当的规格型号。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  <w:t>需附近三年销售合同价格或中标价格等佐证复印材料。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80"/>
        <w:jc w:val="left"/>
        <w:rPr>
          <w:rFonts w:hint="eastAsia" w:ascii="仿宋_GB2312" w:hAnsi="仿宋_GB2312" w:eastAsia="仿宋_GB2312" w:cs="仿宋_GB2312"/>
          <w:color w:val="auto"/>
          <w:kern w:val="0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szCs w:val="21"/>
          <w:lang w:val="en-US"/>
        </w:rPr>
      </w:pPr>
    </w:p>
    <w:p>
      <w:pPr>
        <w:spacing w:line="400" w:lineRule="exact"/>
        <w:jc w:val="center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12253"/>
    <w:multiLevelType w:val="multilevel"/>
    <w:tmpl w:val="60812253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82BBA"/>
    <w:rsid w:val="30282BBA"/>
    <w:rsid w:val="311F46D2"/>
    <w:rsid w:val="3CAF7851"/>
    <w:rsid w:val="3EA45BA1"/>
    <w:rsid w:val="40E603F3"/>
    <w:rsid w:val="4131657B"/>
    <w:rsid w:val="450D75EA"/>
    <w:rsid w:val="5D7F2F8A"/>
    <w:rsid w:val="6CEB77DC"/>
    <w:rsid w:val="76D23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paragraph" w:customStyle="1" w:styleId="9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10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Calibri" w:eastAsia="微软雅黑" w:cs="宋体"/>
      <w:sz w:val="21"/>
      <w:szCs w:val="22"/>
      <w:lang w:val="en-US" w:eastAsia="zh-CN" w:bidi="ar-SA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2021-04-22T07:11:00Z</dcterms:created>
  <dc:creator>Administrator</dc:creator>
  <cp:lastModifiedBy>Administrator</cp:lastModifiedBy>
  <dcterms:modified xsi:type="dcterms:W3CDTF">2021-04-22T09:13:52Z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